
<file path=[Content_Types].xml><?xml version="1.0" encoding="utf-8"?>
<Types xmlns="http://schemas.openxmlformats.org/package/2006/content-types">
  <Default Extension="jpeg" ContentType="image/jpeg"/>
  <Default Extension="JPG" ContentType="image/.jpg"/>
  <Default Extension="tiff" ContentType="image/tiff"/>
  <Default Extension="png" ContentType="image/png"/>
  <Default Extension="wdp" ContentType="image/vnd.ms-photo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Воспитательный потенциал трансформационных игр. </w:t>
      </w:r>
    </w:p>
    <w:p>
      <w:pPr>
        <w:spacing w:line="360" w:lineRule="auto"/>
        <w:rPr>
          <w:rFonts w:hint="default" w:ascii="Times New Roman" w:hAnsi="Times New Roman" w:cs="Times New Roman"/>
          <w:sz w:val="28"/>
          <w:szCs w:val="28"/>
        </w:rPr>
      </w:pPr>
    </w:p>
    <w:p>
      <w:pPr>
        <w:wordWrap w:val="0"/>
        <w:spacing w:line="360" w:lineRule="auto"/>
        <w:jc w:val="right"/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lang w:val="ru-RU"/>
        </w:rPr>
        <w:t>Максимова С.В., кандидат психологических наук,  руководитель лаборатории «Т-игры в образовании», действительный член Международной профессиональной Гильдии психологов-игропрактиков,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lang w:val="ru-RU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lang w:val="ru-RU"/>
        </w:rPr>
        <w:t>Якутина Н.А., педагог-психолог СОШ № 2 г. Фрязино МО,</w:t>
      </w:r>
    </w:p>
    <w:p>
      <w:pPr>
        <w:wordWrap w:val="0"/>
        <w:spacing w:line="360" w:lineRule="auto"/>
        <w:jc w:val="right"/>
        <w:rPr>
          <w:rFonts w:hint="default" w:ascii="Times New Roman" w:hAnsi="Times New Roman"/>
          <w:b w:val="0"/>
          <w:bCs w:val="0"/>
          <w:i/>
          <w:iCs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i/>
          <w:iCs/>
          <w:sz w:val="28"/>
          <w:szCs w:val="28"/>
          <w:lang w:val="ru-RU"/>
        </w:rPr>
        <w:t xml:space="preserve">Сертифицированный специалист по работе с МАК. </w:t>
      </w:r>
    </w:p>
    <w:p>
      <w:pPr>
        <w:wordWrap w:val="0"/>
        <w:spacing w:line="360" w:lineRule="auto"/>
        <w:jc w:val="right"/>
        <w:rPr>
          <w:rFonts w:hint="default" w:ascii="Times New Roman" w:hAnsi="Times New Roman"/>
          <w:b w:val="0"/>
          <w:bCs w:val="0"/>
          <w:i/>
          <w:iCs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i/>
          <w:iCs/>
          <w:sz w:val="28"/>
          <w:szCs w:val="28"/>
          <w:lang w:val="ru-RU"/>
        </w:rPr>
        <w:t xml:space="preserve">Сертифицированный специалист по Арт- терапии. </w:t>
      </w:r>
    </w:p>
    <w:p>
      <w:pPr>
        <w:wordWrap w:val="0"/>
        <w:spacing w:line="360" w:lineRule="auto"/>
        <w:jc w:val="right"/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lang w:val="ru-RU"/>
        </w:rPr>
        <w:t xml:space="preserve"> </w:t>
      </w:r>
    </w:p>
    <w:p>
      <w:pPr>
        <w:spacing w:line="36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spacing w:line="36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УДК 740   159.9.019.3</w:t>
      </w:r>
    </w:p>
    <w:p>
      <w:pPr>
        <w:spacing w:line="36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Аннотация.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статье описаны возможности применения инновационного инструмента - трансформационных игр для решения задач образования, Показаны отличительные особенности, области применения  и преимущества данного инструмента, его возможности в области воспитания.</w:t>
      </w:r>
    </w:p>
    <w:p>
      <w:pPr>
        <w:spacing w:line="36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spacing w:line="36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Ключевые слова: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трансформационные игры, игропрактика, воспитание, метакомпетенции, саморазвитие, рефлексия, психотехники</w:t>
      </w:r>
    </w:p>
    <w:p>
      <w:pPr>
        <w:spacing w:after="0" w:line="36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Задача воспитания будущего поколения является приоритетным направлением образовательной политики РФ. В настоящее время происходит п</w:t>
      </w:r>
      <w:r>
        <w:rPr>
          <w:rFonts w:hint="default" w:ascii="Times New Roman" w:hAnsi="Times New Roman" w:cs="Times New Roman"/>
          <w:sz w:val="28"/>
          <w:szCs w:val="28"/>
        </w:rPr>
        <w:t>ересмотр подходов к реализации системы воспитания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 учетом  требований современного мира и особенностей детей нового поколения. </w:t>
      </w:r>
      <w:r>
        <w:rPr>
          <w:rFonts w:hint="default" w:ascii="Times New Roman" w:hAnsi="Times New Roman" w:cs="Times New Roman"/>
          <w:sz w:val="28"/>
          <w:szCs w:val="28"/>
        </w:rPr>
        <w:t>С 2015 года реализуется Стратегия развития воспитания в Российской Федерации на период до 2025 года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в которой определены такие приоритетные направления как </w:t>
      </w:r>
      <w:r>
        <w:rPr>
          <w:rFonts w:hint="default" w:ascii="Times New Roman" w:hAnsi="Times New Roman" w:cs="Times New Roman"/>
          <w:sz w:val="28"/>
          <w:szCs w:val="28"/>
        </w:rPr>
        <w:t>развитие системы подготовки и дополнительного профессионального образования педагогических работников, осуществляющих непосредственно организацию воспитательного процесса;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разработка и внедрение системы мотивации обучающихся образовательных организаций;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разработка показателей для оценки эффективности деятельности общеобразовательных организаций, отражающих эффективность воспитательной работы в общеобразовательных организациях и другие.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 xml:space="preserve"> 2019 году разработана примерная программа воспитания для общеобразовательных организаций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ключевым направлением которой является личностное развитие обучающихся. 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ФГОС нового поколения обозначает требования развития не только знаний и умений школьников, но и метакомпетенций таких как способность принимать решения и действовать в условиях неопределенности, способность к самоопределению и целеполаганию,  активная позиция, проявление инициативы и творческой активности. Однако в традиционном  образовании остро не хватает методических средств для развития таких востребованных метакомпетенций.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По данным исследования Сколково «Образовательные экосистемы: возникающая практика для будущего образования» игропрактика является трендом новой модели образования, отвечающей особенностям детей и подростков «поколения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GB"/>
        </w:rPr>
        <w:t>Z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». В «Атласе новых профессий» выделены две новые специальности в области педагогики - «игропрактик» - специалист, способный применять  игровые методы в различных образовательных ситуациях, который предположительно в будущем заменит традиционного учителя и игромастер - специалист по разработке игр и игровых методик 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GB"/>
        </w:rPr>
        <w:t>[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8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GB"/>
        </w:rPr>
        <w:t>]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.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В последние десятилетия в России появился особый класс игр, цель которых – трансформация собственной идентичности (представлений о себе и мире, своих целях, способностях, стратегиях достижения, ресурсах, препятствующих установках, ценностях, предпочтениях и т.д.), успешно зарекомендовавший себя в бизнесе, коучинге, психологии, психотерапии и имеющий большие перспективы для решения задач  образования, особенно в сфере восптания.</w:t>
      </w:r>
    </w:p>
    <w:p>
      <w:pPr>
        <w:pStyle w:val="6"/>
        <w:keepNext w:val="0"/>
        <w:keepLines w:val="0"/>
        <w:widowControl/>
        <w:suppressLineNumbers w:val="0"/>
        <w:pBdr>
          <w:bottom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720" w:firstLineChars="0"/>
        <w:jc w:val="both"/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Трансформационные игры опираются на т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еоретико-методологическ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ие основания, заложенные в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субъектно-деятельностно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м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подход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е С.Л.Рубинштейна,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бихевиоральн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ом подходе Б. Скиннера,  архитипическом подходе К.Г.Юнга. </w:t>
      </w:r>
      <w:r>
        <w:rPr>
          <w:rFonts w:hint="default" w:ascii="Times New Roman" w:hAnsi="Times New Roman" w:cs="Times New Roman"/>
          <w:i w:val="0"/>
          <w:iCs w:val="0"/>
          <w:color w:val="000000"/>
          <w:spacing w:val="0"/>
          <w:sz w:val="28"/>
          <w:szCs w:val="28"/>
          <w:shd w:val="clear" w:fill="FFFFFF"/>
          <w:lang w:val="ru-RU"/>
        </w:rPr>
        <w:t>А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также -  на психологические аспекты таких течений как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символический интеракционизм и конструкционизм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GB"/>
        </w:rPr>
        <w:t>[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/>
        </w:rPr>
        <w:t>5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GB"/>
        </w:rPr>
        <w:t>]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/>
        </w:rPr>
        <w:t>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«</w:t>
      </w:r>
      <w:r>
        <w:rPr>
          <w:rFonts w:hint="default" w:ascii="Times New Roman" w:hAnsi="Times New Roman" w:cs="Times New Roman"/>
          <w:sz w:val="28"/>
          <w:szCs w:val="28"/>
        </w:rPr>
        <w:t xml:space="preserve">Трансформационная игра – особый вид игровых технологий, который имеет два слоя: внешний слой – игровой – мотивирует активность участников, повышает интерес. Внутри Т-игры заложены психологические или образовательные инструменты, позволяющие решать психологические, развивающие, воспитательные, обучающие задачи. Т-игры 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</w:rPr>
        <w:t>направлены на нахождение оптимальных решений и преодоление личностных кризисов и сложных ситуаций, а также на достижение персональных целей участников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» 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en-GB"/>
        </w:rPr>
        <w:t>[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4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en-GB"/>
        </w:rPr>
        <w:t>]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>
      <w:pPr>
        <w:numPr>
          <w:ilvl w:val="0"/>
          <w:numId w:val="0"/>
        </w:numPr>
        <w:shd w:val="clear" w:color="auto" w:fill="FFFFFF"/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Разработчиками психологических т-игр являются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профессиональные психологи и психотерапевты, которые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упаковывают в них свои теоретические концепции, схемы, психотехники, упражнения, опыт. </w:t>
      </w:r>
      <w:r>
        <w:rPr>
          <w:rFonts w:hint="default" w:ascii="Times New Roman" w:hAnsi="Times New Roman" w:eastAsia="Helvetica" w:cs="Times New Roman"/>
          <w:i w:val="0"/>
          <w:iCs w:val="0"/>
          <w:color w:val="000000"/>
          <w:spacing w:val="0"/>
          <w:sz w:val="28"/>
          <w:szCs w:val="28"/>
          <w:shd w:val="clear" w:fill="FFFFFF"/>
          <w:lang w:val="ru-RU"/>
        </w:rPr>
        <w:t>Т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еоретические и практические аспекты применения трансформационных игр описаны психологами-игропрактиками - авторами трансформационных игр в с</w:t>
      </w:r>
      <w:r>
        <w:rPr>
          <w:rFonts w:hint="default" w:ascii="Times New Roman" w:hAnsi="Times New Roman" w:cs="Times New Roman"/>
          <w:sz w:val="28"/>
          <w:szCs w:val="28"/>
        </w:rPr>
        <w:t>борник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конференции «Современные терапевтические и трансформационные игровые технологии»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GB"/>
        </w:rPr>
        <w:t>[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7</w:t>
      </w:r>
      <w:r>
        <w:rPr>
          <w:rFonts w:hint="default" w:ascii="Times New Roman" w:hAnsi="Times New Roman" w:cs="Times New Roman"/>
          <w:sz w:val="28"/>
          <w:szCs w:val="28"/>
          <w:lang w:val="en-GB"/>
        </w:rPr>
        <w:t>]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>
      <w:pPr>
        <w:numPr>
          <w:ilvl w:val="0"/>
          <w:numId w:val="0"/>
        </w:numPr>
        <w:shd w:val="clear" w:color="auto" w:fill="FFFFFF"/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Появляются исследования эффективности применения трансформационных игр в образовательном пространстве - это исследования и</w:t>
      </w:r>
      <w:r>
        <w:rPr>
          <w:rFonts w:hint="default" w:ascii="Times New Roman" w:hAnsi="Times New Roman" w:eastAsia="SimSun" w:cs="Times New Roman"/>
          <w:sz w:val="28"/>
          <w:szCs w:val="28"/>
        </w:rPr>
        <w:t>зменени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я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самоотношения спортсменов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в процессе 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трансформационной игры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для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повышения конкурентоспособности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sz w:val="28"/>
          <w:szCs w:val="28"/>
          <w:lang w:val="en-GB"/>
        </w:rPr>
        <w:t>[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1</w:t>
      </w:r>
      <w:r>
        <w:rPr>
          <w:rFonts w:hint="default" w:ascii="Times New Roman" w:hAnsi="Times New Roman" w:eastAsia="SimSun" w:cs="Times New Roman"/>
          <w:sz w:val="28"/>
          <w:szCs w:val="28"/>
          <w:lang w:val="en-GB"/>
        </w:rPr>
        <w:t>]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, о развитии ораторских способностей обучающихся с помощью т-игры «Оратор» </w:t>
      </w:r>
      <w:r>
        <w:rPr>
          <w:rFonts w:hint="default" w:ascii="Times New Roman" w:hAnsi="Times New Roman" w:eastAsia="SimSun" w:cs="Times New Roman"/>
          <w:sz w:val="28"/>
          <w:szCs w:val="28"/>
          <w:lang w:val="en-GB"/>
        </w:rPr>
        <w:t>[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6</w:t>
      </w:r>
      <w:r>
        <w:rPr>
          <w:rFonts w:hint="default" w:ascii="Times New Roman" w:hAnsi="Times New Roman" w:eastAsia="SimSun" w:cs="Times New Roman"/>
          <w:sz w:val="28"/>
          <w:szCs w:val="28"/>
          <w:lang w:val="en-GB"/>
        </w:rPr>
        <w:t>]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,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потенциал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>е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трансформационной игры как инструмента ситуативной динамики Я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GB" w:eastAsia="zh-CN" w:bidi="ar"/>
        </w:rPr>
        <w:t>[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>2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GB" w:eastAsia="zh-CN" w:bidi="ar"/>
        </w:rPr>
        <w:t>]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и др.</w:t>
      </w:r>
    </w:p>
    <w:p>
      <w:pPr>
        <w:spacing w:after="0" w:line="360" w:lineRule="auto"/>
        <w:ind w:firstLine="567"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 xml:space="preserve">В лаборатории «Т-игры в образовании» разработан пакет трансформационных игр для использования в образовании, основанные на следующих  принципах: </w:t>
      </w:r>
      <w:r>
        <w:rPr>
          <w:rFonts w:hint="default" w:ascii="Times New Roman" w:hAnsi="Times New Roman" w:cs="Times New Roman"/>
          <w:sz w:val="28"/>
          <w:szCs w:val="28"/>
        </w:rPr>
        <w:t>1. В отличие от развлекательных игр, построенных на жёсткой конкуренции, предполагающей выигрыш за счёт других, Т-игры являются «добрыми», акцент в них сделан на развитие нравственных качеств, эмпатии, взаимопомощи, умении взаимодействовать с другими людьми.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2. Т-игры учитывают возрастные особенности и соответствующие им задачи развития, предлагаются несколько вариантов игр, направленных на развитие какой-либо одной способности, но адаптированные для детей разных возрастов. 3. Каждая игра включена в систему, предполагающую: различные варианты проведения (со сверстниками, с воспитателями, родителями); разные уровни; наличие дидактических материалов, которые можно применять за пределами игровой сессии, продлевая эффект, заложенный в игре.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4. Игра содержит возможность доработки её детьми, включения в неё собственного опыта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 5. В игре задействуется личный опыт каждого участника, а опыт, полученный в игре, участники могут сразу же использовать в своей жизни.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 xml:space="preserve">Дети нового поколения таковы, что просто сказать им, что хорошо, а что – плохо, уже не работает, гораздо эффективнее, если дети в процессе игры сами придут к определенным выводам. В Т-игре «Эмоциональный конструктор» собраны 4 игры, направленные на развитие эмоционального интеллекта </w:t>
      </w:r>
      <w:r>
        <w:rPr>
          <w:rFonts w:hint="default" w:ascii="Times New Roman" w:hAnsi="Times New Roman" w:cs="Times New Roman"/>
          <w:sz w:val="28"/>
          <w:szCs w:val="28"/>
        </w:rPr>
        <w:t>– важнейше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го</w:t>
      </w:r>
      <w:r>
        <w:rPr>
          <w:rFonts w:hint="default" w:ascii="Times New Roman" w:hAnsi="Times New Roman" w:cs="Times New Roman"/>
          <w:sz w:val="28"/>
          <w:szCs w:val="28"/>
        </w:rPr>
        <w:t xml:space="preserve"> качеств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в современном мире, необходимо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го</w:t>
      </w:r>
      <w:r>
        <w:rPr>
          <w:rFonts w:hint="default" w:ascii="Times New Roman" w:hAnsi="Times New Roman" w:cs="Times New Roman"/>
          <w:sz w:val="28"/>
          <w:szCs w:val="28"/>
        </w:rPr>
        <w:t xml:space="preserve"> как профессии, так и в жизни.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>Игра «Угадай эмоцию» развивает  способность узнавать и варажать базовые эмоции, игра «мемори» научает говорить о своих эмоциях, тем самым предотвращая агрессивное поведение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en-GB"/>
        </w:rPr>
        <w:t>[3]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 xml:space="preserve">, а также излишнее напряжение и возможные психосоматические заболевания. Игра «лото» развивает способность понимать эмоции других, а игра «домино» развитие эмпатии и активного слушания. </w:t>
      </w:r>
      <w:r>
        <w:rPr>
          <w:rFonts w:hint="default" w:ascii="Times New Roman" w:hAnsi="Times New Roman" w:cs="Times New Roman"/>
          <w:sz w:val="28"/>
          <w:szCs w:val="28"/>
        </w:rPr>
        <w:t xml:space="preserve"> Известные игровые механики (лото, домино) позволяют легко освоить правила, а психологический подтекст, заложенный в игру  поможет избежать проблем с поведением. В игру могут играть родители с детьми, налаживая эмоциональный контакт, теплые отношения. Это поможет раскрыться замкнутым детям, застенчивым. Наклейки с изображением эмоций можно использовать за пределами игры, реализуя полученные навыки в жизни. 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Рис.1 Игра «Эмоциональный конструктор» (автор - С.Максимова). Апробация на инновационной площадке Лицей № 95 г. Челябинск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drawing>
          <wp:inline distT="0" distB="0" distL="114300" distR="114300">
            <wp:extent cx="2358390" cy="3331845"/>
            <wp:effectExtent l="0" t="0" r="3810" b="1905"/>
            <wp:docPr id="8" name="Picture 4" descr="http://svet-tvor.ru/images/1.jpg?crc=3817428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4" descr="http://svet-tvor.ru/images/1.jpg?crc=381742824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58390" cy="333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17140" cy="2844165"/>
            <wp:effectExtent l="0" t="0" r="16510" b="13335"/>
            <wp:docPr id="4098" name="Picture 2" descr="http://svet-tvor.ru/images/korob_karts2curve.jpg?crc=4151956607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http://svet-tvor.ru/images/korob_karts2curve.jpg?crc=4151956607"/>
                    <pic:cNvPicPr>
                      <a:picLocks noGrp="1"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7140" cy="2844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Т-игра «Геном творчества-лайт» направлена на раскрытие творческого потенциала, выход из творческого кризиса, реализацию идей и проектов, умение поддерживать себя и других. Игра основана на авторской концепции баланса неадаптивности и адаптивности в творчестве, согласно которой основным механизмом развития творческой состоятельности личности является осознание себя в качестве субьекта творчества. В игре этому способствует обратная связь от всех участников игры после каждого хода, которую они дают друг другу с помощью фигурок разного цвета: красную - за эмоциональность, желтую - за новизну, сиреневую - за оригинальность и т.д.. таким образом после игры каждый участник может понять, в чем его личная сила, индивидуальность. В игре моделируется творческий процесс, участники получают поддержку и подсказки от сказочных персонажей и колоды метафорических карт «Пародоксы».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Рис. 2 Т-игра «Геном творчества» (автор - С.Максимова).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drawing>
          <wp:inline distT="0" distB="0" distL="114300" distR="114300">
            <wp:extent cx="3435350" cy="3215640"/>
            <wp:effectExtent l="0" t="0" r="12700" b="3810"/>
            <wp:docPr id="1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5350" cy="321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Трансформационная игра «Лучики добра» направлена на осознание своих полжительных качеств, развитие уверенности в себе, поимание, как справиться со своими негативными эмоциями и сложными чертами характера. освоение приемов выхода из конфликтов, умение строить новые конструктивные стратегии взаимодействия, развитие духовно-нравственных качеств. 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Рис 3. Т-игра «Лучики добра» (авторы Н.Якутина и С.Максимова). Апробация в школе №2 г. Фрязино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drawing>
          <wp:inline distT="0" distB="0" distL="114300" distR="114300">
            <wp:extent cx="4050030" cy="4801870"/>
            <wp:effectExtent l="0" t="0" r="7620" b="17780"/>
            <wp:docPr id="2" name="Picture 1" descr="WhatsApp Image 2023-06-15 at 21.24.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WhatsApp Image 2023-06-15 at 21.24.3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50030" cy="480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Поиграв в Т-игру профориентационной направленности «В чем моя суперсила?» участники найдут для себя ответы на такие вопросы: Какая профессиональная область меня привлекает? Можно ли построить успешную карьеру, ориентируясь на свои предпочтения и  интересы? Как совместить самореализацию и заработок? 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Рис 4. Т-игра «В чем моя суперсила?» (автор - А.Шумкова)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drawing>
          <wp:inline distT="0" distB="0" distL="114300" distR="114300">
            <wp:extent cx="2630805" cy="1479550"/>
            <wp:effectExtent l="0" t="0" r="17145" b="635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630805" cy="147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60015" cy="1485900"/>
            <wp:effectExtent l="0" t="0" r="6985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6001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Трансформационная игра «Зеркала» игра помогает: осознать свои негативные качества  (например, конфликтность, лень, безответственность, застенчивость); узнать, как с ними можно справиться, благодаря встречающимся им на игровом пути заданиям и персонажам; Какие действия нужно делать для этого, сделать выводы о том, как можно улучшить свою жизненную стратегию в реальном мире.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Рис. 5 Т-игра «Зеркала» (автор - А.Шумкова)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drawing>
          <wp:inline distT="0" distB="0" distL="114300" distR="114300">
            <wp:extent cx="4066540" cy="387731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5083" b="91909" l="10000" r="90000">
                                  <a14:foregroundMark x1="20547" y1="23444" x2="31875" y2="0"/>
                                  <a14:foregroundMark x1="31875" y1="23548" x2="53281" y2="0"/>
                                  <a14:foregroundMark x1="53281" y1="23237" x2="58203" y2="0"/>
                                  <a14:foregroundMark x1="58203" y1="14730" x2="64766" y2="0"/>
                                  <a14:foregroundMark x1="64766" y1="10166" x2="73359" y2="0"/>
                                  <a14:foregroundMark x1="73359" y1="20124" x2="73203" y2="0"/>
                                  <a14:foregroundMark x1="73203" y1="29772" x2="67969" y2="0"/>
                                  <a14:foregroundMark x1="67969" y1="44813" x2="67266" y2="0"/>
                                  <a14:foregroundMark x1="67266" y1="53942" x2="72422" y2="0"/>
                                  <a14:foregroundMark x1="72422" y1="76660" x2="71875" y2="0"/>
                                  <a14:foregroundMark x1="61172" y1="91909" x2="51484" y2="0"/>
                                  <a14:foregroundMark x1="44219" y1="80083" x2="44219" y2="0"/>
                                  <a14:foregroundMark x1="40469" y1="30394" x2="38984" y2="0"/>
                                  <a14:foregroundMark x1="67109" y1="44606" x2="74219" y2="0"/>
                                  <a14:foregroundMark x1="74219" y1="50726" x2="75547" y2="0"/>
                                  <a14:foregroundMark x1="75547" y1="60270" x2="75234" y2="0"/>
                                  <a14:foregroundMark x1="61172" y1="16909" x2="56094" y2="0"/>
                                  <a14:foregroundMark x1="56094" y1="7676" x2="53438" y2="0"/>
                                  <a14:foregroundMark x1="32344" y1="48548" x2="32422" y2="0"/>
                                  <a14:foregroundMark x1="30859" y1="46058" x2="32422" y2="0"/>
                                  <a14:foregroundMark x1="31094" y1="47407" x2="31094" y2="0"/>
                                  <a14:foregroundMark x1="44531" y1="60270" x2="44766" y2="0"/>
                                  <a14:foregroundMark x1="43594" y1="62552" x2="44531" y2="0"/>
                                  <a14:foregroundMark x1="76250" y1="48340" x2="77031" y2="0"/>
                                  <a14:foregroundMark x1="75391" y1="47510" x2="75391" y2="0"/>
                                  <a14:foregroundMark x1="24922" y1="85996" x2="24766" y2="0"/>
                                  <a14:foregroundMark x1="44297" y1="78942" x2="44297" y2="0"/>
                                  <a14:foregroundMark x1="42344" y1="80809" x2="42344" y2="0"/>
                                  <a14:foregroundMark x1="43281" y1="81432" x2="43672" y2="0"/>
                                  <a14:foregroundMark x1="50313" y1="83402" x2="49844" y2="0"/>
                                  <a14:foregroundMark x1="54453" y1="88900" x2="57500" y2="0"/>
                                  <a14:foregroundMark x1="24219" y1="89730" x2="23828" y2="0"/>
                                  <a14:backgroundMark x1="76250" y1="40145" x2="76250" y2="0"/>
                                  <a14:backgroundMark x1="21719" y1="50000" x2="21719" y2="0"/>
                                  <a14:backgroundMark x1="24922" y1="47718" x2="29688" y2="0"/>
                                  <a14:backgroundMark x1="29688" y1="48444" x2="29766" y2="0"/>
                                  <a14:backgroundMark x1="20859" y1="49793" x2="20859" y2="0"/>
                                  <a14:backgroundMark x1="17422" y1="50311" x2="17422" y2="0"/>
                                  <a14:backgroundMark x1="19844" y1="49378" x2="19844" y2="0"/>
                                  <a14:backgroundMark x1="17500" y1="50622" x2="17500" y2="0"/>
                                  <a14:backgroundMark x1="20234" y1="49793" x2="20234" y2="0"/>
                                  <a14:backgroundMark x1="45938" y1="69813" x2="45938" y2="0"/>
                                  <a14:backgroundMark x1="76172" y1="39834" x2="76172" y2="0"/>
                                  <a14:backgroundMark x1="76172" y1="39834" x2="76641" y2="0"/>
                                  <a14:backgroundMark x1="76016" y1="40145" x2="76484" y2="0"/>
                                  <a14:backgroundMark x1="78281" y1="86100" x2="78750" y2="0"/>
                                  <a14:backgroundMark x1="78125" y1="82988" x2="77813" y2="0"/>
                                  <a14:backgroundMark x1="78984" y1="60892" x2="78984" y2="0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 l="8872" r="12135"/>
                    <a:stretch>
                      <a:fillRect/>
                    </a:stretch>
                  </pic:blipFill>
                  <pic:spPr>
                    <a:xfrm>
                      <a:off x="0" y="0"/>
                      <a:ext cx="4066540" cy="387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результате Т-игры «Квантовый скачок» участники смогут: Исследовать свой профессиональный путь, осознать, что к одной и той же цели можно прийти разными путями, развить в себе гибкость в решении вопросов, связанных с профессией. 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Рис. 6 Т-игра «Квантовый скачок» (автор - А.Гумницкая)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4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6" name="Picture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7" name="Picture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3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9" name="Picture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4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5026025" cy="3635375"/>
            <wp:effectExtent l="0" t="0" r="3175" b="3175"/>
            <wp:docPr id="10" name="Picture 10" descr="d3706948-a53c-40bb-8962-cf5622c0c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3706948-a53c-40bb-8962-cf5622c0c09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26025" cy="363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Задача Т-игры «В поисках пропавшего артефакта» - разбудить интерес к проектной деятельности. Участники игры поймут, что: создание проекта - это увлекательно придумать идеи для проекта - легко, мыслить нестандартно - может каждый, у каждого есть еще неопробаванные личностные ресурсы. 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Рис 7. Т-игра «В поисках пропавшего артефакта» (автор - В.Прокопцева)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027045" cy="3080385"/>
            <wp:effectExtent l="0" t="0" r="1905" b="5715"/>
            <wp:docPr id="11" name="Picture 11" descr="Изображение WhatsApp 2024-01-24 в 10.34.37_eb96c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Изображение WhatsApp 2024-01-24 в 10.34.37_eb96c46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27045" cy="308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Т-игра «Солнечные ангелы или Кто Я?» позволяет заглянуть в глубь себя и рассмотрев разные аспекты своей личности с помощью метафор «Источник мудрости», «Вершина вдохновения», «Пещера творения» и т.п. прийти к понимаю глубинных аспектов своего существования, почувствовать себя солнечным ангелом, задача которого - помогать людям, светить и сеть добро.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Рис. 8 Т-игра «Солнечные ангелы» (автор - Наталья Якутина)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2753360" cy="2753360"/>
            <wp:effectExtent l="0" t="0" r="8890" b="8890"/>
            <wp:docPr id="12" name="Picture 12" descr="пол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поле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53360" cy="275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2322195" cy="3096895"/>
            <wp:effectExtent l="0" t="0" r="1905" b="8255"/>
            <wp:docPr id="13" name="Picture 13" descr="Изображение WhatsApp 2024-01-28 в 19.40.52_2cc4c5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Изображение WhatsApp 2024-01-28 в 19.40.52_2cc4c5b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22195" cy="309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Т-игра «Колпачок волшебника» обучает сторителлингу - сочинению историй в легкой, развлекательной форме, доступной даже дошкольникам, развивает воображение и фантазию, а также речевые навыки.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Рис. 9 Игра «Колпачок волшебника» (авторы - коллектив педагогов Д</w:t>
      </w:r>
      <w:r>
        <w:rPr>
          <w:rFonts w:hint="default" w:ascii="Times New Roman" w:hAnsi="Times New Roman" w:cs="Times New Roman"/>
          <w:sz w:val="28"/>
          <w:szCs w:val="28"/>
          <w:lang w:val="en-GB"/>
        </w:rPr>
        <w:t>/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c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№ 477 г Челябинск)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2326005" cy="3108960"/>
            <wp:effectExtent l="0" t="0" r="15240" b="17145"/>
            <wp:docPr id="16" name="Picture 16" descr="Колпачок сказочник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Колпачок сказочника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326005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Т-игра «Победи Дракона!» создана для профилактики игровой зависимости. В ходе игры дети осознают, на что они тратят время своей жизни, свои ментальные, эмоциональные и поведенческие ловушки, способы выхода из трудных ситуаций. Заполняя свое колесо баланса, узнают, в каких сферах жизни у них есть еще невостребованный ресурс. 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Рис. 10 Т-игра «Победи дракона!» (автор - Л.Навалихина, г.Ростов-на-Дону)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drawing>
          <wp:inline distT="0" distB="0" distL="114300" distR="114300">
            <wp:extent cx="2594610" cy="1625600"/>
            <wp:effectExtent l="0" t="0" r="15240" b="12700"/>
            <wp:docPr id="18" name="Picture 1" descr="80f9e8d3-eb76-4ba7-9f1f-c13441c546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" descr="80f9e8d3-eb76-4ba7-9f1f-c13441c546ee"/>
                    <pic:cNvPicPr>
                      <a:picLocks noChangeAspect="1"/>
                    </pic:cNvPicPr>
                  </pic:nvPicPr>
                  <pic:blipFill>
                    <a:blip r:embed="rId18"/>
                    <a:srcRect t="21310" b="26828"/>
                    <a:stretch>
                      <a:fillRect/>
                    </a:stretch>
                  </pic:blipFill>
                  <pic:spPr>
                    <a:xfrm>
                      <a:off x="0" y="0"/>
                      <a:ext cx="2594610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78405" cy="1649095"/>
            <wp:effectExtent l="0" t="0" r="17145" b="8255"/>
            <wp:docPr id="17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1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8405" cy="164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 т-игре «Тайны заброшенного города» акцент сделан на профилактику девиантного поведения, ребята обсуждают сложные ситуации, в которые могут попадать подростки, способы выхода из них. Раскапывая древний город, получают послания от древних мудрецов, выбираясь из ловушек, наращивают свою личную силу а также учатся взаимовыручке, осваивают способы саморегуляции.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Рис. 11 Т-игра «Тайны заброшенного города» (авторы - С.Максимова, Н.Якутина, Л.Навалихина). Апробация - в СОШ №2 г. Фрязино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drawing>
          <wp:inline distT="0" distB="0" distL="114300" distR="114300">
            <wp:extent cx="1720215" cy="2480945"/>
            <wp:effectExtent l="0" t="0" r="13335" b="14605"/>
            <wp:docPr id="21" name="Picture 4" descr="WhatsApp Image 2023-12-13 at 14.31.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4" descr="WhatsApp Image 2023-12-13 at 14.31.25"/>
                    <pic:cNvPicPr>
                      <a:picLocks noChangeAspect="1"/>
                    </pic:cNvPicPr>
                  </pic:nvPicPr>
                  <pic:blipFill>
                    <a:blip r:embed="rId20"/>
                    <a:srcRect t="33475"/>
                    <a:stretch>
                      <a:fillRect/>
                    </a:stretch>
                  </pic:blipFill>
                  <pic:spPr>
                    <a:xfrm>
                      <a:off x="0" y="0"/>
                      <a:ext cx="1720215" cy="248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844165" cy="1600200"/>
            <wp:effectExtent l="0" t="0" r="13335" b="0"/>
            <wp:docPr id="20" name="Picture Placeholder 2" descr="Тайны заброшенного гор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Placeholder 2" descr="Тайны заброшенного города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4416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Цель  Т-игры «Полет Кондора» - психологиеская подготовка к экзаменам, соревнованиям и т.п. В задачи игры входит:  1. Научиться понимать и оценивать свое психологическое состояние;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2. Простроить (прожить) модель себя от «выпавшего из гнезда птенца» до мощной птицы - повелителя гор, совершившей свой полет;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3. Освоить упражнения на снятие стресса, мышечных зажимов, активизации познавательных процессов, простроить нейронную связь между ними и ситуацией экзамена;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4. Осознать свои установки, стратегии действия в ситуации стресса, гармонизировать их; 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5. Научиться просить, получать и оказывать помощь и поддержку себе и другим в ситуации стресса.  Все это -чрезвычайно востребованные в современном мире навыки, которые школьники осваивают в увлекательной игровой форме.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Рис. 12 Т-игра «Полет Кондора» (авторы - С.Максимова, Н.Якутина)  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2675255" cy="1504950"/>
            <wp:effectExtent l="0" t="0" r="10795" b="0"/>
            <wp:docPr id="22" name="Picture 22" descr="Полет Кондо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Полет Кондора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7525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2685415" cy="1511300"/>
            <wp:effectExtent l="0" t="0" r="635" b="12700"/>
            <wp:docPr id="24" name="Picture 24" descr="Полет Кондора-пол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Полет Кондора-поле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85415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Пакет описанных игр реализуется только с обучением на курсах повышения квалификации, так как требуют от ведущих знаний как в аспектах направленности игр, так и основ управления групповой динамикой, работы с проективными методами и других компетенций игропрактика. Курсы проводятся авторами Т-игр. Мы приглашаем вас с сотрудничеству, о наших играх и мероприятиях можно узнать в профессиональном сообществе «Т-игры в образовании»: </w:t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drawing>
          <wp:inline distT="0" distB="0" distL="114300" distR="114300">
            <wp:extent cx="2619375" cy="2619375"/>
            <wp:effectExtent l="0" t="0" r="9525" b="9525"/>
            <wp:docPr id="15" name="Picture 8" descr="куаркод группы в контак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8" descr="куаркод группы в контакте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Литература: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en-GB"/>
        </w:rPr>
      </w:pPr>
      <w:r>
        <w:rPr>
          <w:rFonts w:hint="default" w:ascii="Times New Roman" w:hAnsi="Times New Roman" w:cs="Times New Roman"/>
          <w:sz w:val="28"/>
          <w:szCs w:val="28"/>
          <w:lang w:val="en-GB"/>
        </w:rPr>
        <w:t>Геращенко, Э. Изменение самоотношения спортсменов методом трансформационной игры как ресурс повышения конкурентоспособности / Э. Геращенко // Ресурсы конкурентоспособности спортсменов: теория и практика реализации. – 2018. – № 1. – С. 58-60. – EDN UDSNVX.</w:t>
      </w:r>
    </w:p>
    <w:p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0" w:firstLineChars="0"/>
        <w:jc w:val="both"/>
        <w:rPr>
          <w:rFonts w:hint="default" w:ascii="Times New Roman" w:hAnsi="Times New Roman" w:eastAsia="Arial" w:cs="Times New Roman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Гладских Н.А. </w:t>
      </w:r>
      <w:r>
        <w:rPr>
          <w:rFonts w:hint="default" w:ascii="Times New Roman" w:hAnsi="Times New Roman" w:eastAsia="Arial" w:cs="Times New Roman"/>
          <w:b w:val="0"/>
          <w:bCs w:val="0"/>
          <w:caps w:val="0"/>
          <w:color w:val="000000"/>
          <w:spacing w:val="0"/>
          <w:sz w:val="28"/>
          <w:szCs w:val="28"/>
          <w:shd w:val="clear" w:fill="FFFFFF"/>
        </w:rPr>
        <w:t>Ситуативная динамика Я в условиях терапевтической</w:t>
      </w:r>
      <w:r>
        <w:rPr>
          <w:rFonts w:hint="default" w:ascii="Times New Roman" w:hAnsi="Times New Roman" w:eastAsia="Arial" w:cs="Times New Roman"/>
          <w:b w:val="0"/>
          <w:b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Arial" w:cs="Times New Roman"/>
          <w:b w:val="0"/>
          <w:bCs w:val="0"/>
          <w:caps w:val="0"/>
          <w:color w:val="000000"/>
          <w:spacing w:val="0"/>
          <w:sz w:val="28"/>
          <w:szCs w:val="28"/>
          <w:shd w:val="clear" w:fill="FFFFFF"/>
        </w:rPr>
        <w:t>трансформационной игры</w:t>
      </w:r>
      <w:r>
        <w:rPr>
          <w:rFonts w:hint="default" w:ascii="Times New Roman" w:hAnsi="Times New Roman" w:eastAsia="Arial" w:cs="Times New Roman"/>
          <w:b w:val="0"/>
          <w:bCs w:val="0"/>
          <w:caps w:val="0"/>
          <w:color w:val="000000"/>
          <w:spacing w:val="0"/>
          <w:sz w:val="28"/>
          <w:szCs w:val="28"/>
          <w:shd w:val="clear" w:fill="FFFFFF"/>
          <w:lang w:val="en-US"/>
        </w:rPr>
        <w:t xml:space="preserve"> </w:t>
      </w:r>
      <w:r>
        <w:rPr>
          <w:rFonts w:hint="default" w:ascii="Times New Roman" w:hAnsi="Times New Roman" w:eastAsia="Arial" w:cs="Times New Roman"/>
          <w:b w:val="0"/>
          <w:bCs w:val="0"/>
          <w:caps w:val="0"/>
          <w:color w:val="000000"/>
          <w:spacing w:val="0"/>
          <w:sz w:val="28"/>
          <w:szCs w:val="28"/>
          <w:shd w:val="clear" w:fill="FFFFFF"/>
          <w:lang w:val="en-GB"/>
        </w:rPr>
        <w:t>/</w:t>
      </w:r>
      <w:r>
        <w:rPr>
          <w:rFonts w:hint="default" w:ascii="Times New Roman" w:hAnsi="Times New Roman" w:eastAsia="Arial" w:cs="Times New Roman"/>
          <w:b w:val="0"/>
          <w:bCs w:val="0"/>
          <w:caps w:val="0"/>
          <w:color w:val="000000"/>
          <w:spacing w:val="0"/>
          <w:sz w:val="28"/>
          <w:szCs w:val="28"/>
          <w:shd w:val="clear" w:fill="FFFFFF"/>
          <w:lang w:val="en-US"/>
        </w:rPr>
        <w:t xml:space="preserve"> </w:t>
      </w:r>
      <w:r>
        <w:rPr>
          <w:rFonts w:hint="default" w:ascii="Times New Roman" w:hAnsi="Times New Roman" w:eastAsia="Arial" w:cs="Times New Roman"/>
          <w:b w:val="0"/>
          <w:b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ВКР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</w:rPr>
        <w:t> НИУ ВШЭ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, Москва, 2023</w:t>
      </w:r>
    </w:p>
    <w:p>
      <w:pPr>
        <w:pStyle w:val="8"/>
        <w:numPr>
          <w:ilvl w:val="0"/>
          <w:numId w:val="1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sz w:val="28"/>
          <w:szCs w:val="28"/>
        </w:rPr>
        <w:t>Максимова С.В. Игровые решения для профилактики и коррекции агрессивного поведения школьников / Педагогическая поддержка – стратегия безопасности пространства детства: материалы Международной научно-практической конференции // Москва, 28 октября 2021 г. РАНХиГС; ФИРО / под ред. И.Н. Поповой. – СПб.: ГНИИ «Нацразвитие», 2021. – 164 с. - ISBN 978-5-907437-49-4, с.106-111 (0,3 п.л.)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line="360" w:lineRule="auto"/>
        <w:ind w:left="0" w:firstLine="0"/>
        <w:jc w:val="both"/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1A1A1A"/>
          <w:spacing w:val="0"/>
          <w:sz w:val="28"/>
          <w:szCs w:val="28"/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Максимова С.В.</w:t>
      </w:r>
      <w:r>
        <w:rPr>
          <w:rFonts w:hint="default" w:ascii="Times New Roman" w:hAnsi="Times New Roman" w:eastAsia="SimSun" w:cs="Times New Roman"/>
          <w:b w:val="0"/>
          <w:bCs w:val="0"/>
          <w:i/>
          <w:iCs/>
          <w:caps w:val="0"/>
          <w:color w:val="000000"/>
          <w:spacing w:val="0"/>
          <w:sz w:val="28"/>
          <w:szCs w:val="28"/>
          <w:shd w:val="clear" w:fill="FFFFFF"/>
        </w:rPr>
        <w:t> 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Применение трансформационных игр в практике образования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GB"/>
        </w:rPr>
        <w:t>/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Style w:val="7"/>
          <w:rFonts w:hint="default" w:ascii="Times New Roman" w:hAnsi="Times New Roman" w:eastAsia="RobotoCondensed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Федеральный научно-методический журнал Методист №6 2023</w:t>
      </w:r>
      <w:r>
        <w:rPr>
          <w:rStyle w:val="7"/>
          <w:rFonts w:hint="default" w:ascii="Times New Roman" w:hAnsi="Times New Roman" w:eastAsia="RobotoCondensed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,</w:t>
      </w:r>
      <w:r>
        <w:rPr>
          <w:rStyle w:val="7"/>
          <w:rFonts w:hint="default" w:ascii="Times New Roman" w:hAnsi="Times New Roman" w:eastAsia="RobotoCondensed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GB"/>
        </w:rPr>
        <w:t xml:space="preserve"> c17-21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Муравьева, А. С. Терапевтическая трансформационная игра как метод терапии в психологических практиках: теоретический и методологический аспекты / А. С. Муравьева // Человек. Искусство. Вселенная. – 2021. – № 2. – С. 137-141. – EDN RHZBOB.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en-GB"/>
        </w:rPr>
      </w:pPr>
      <w:r>
        <w:rPr>
          <w:rFonts w:hint="default" w:ascii="Times New Roman" w:hAnsi="Times New Roman" w:cs="Times New Roman"/>
          <w:sz w:val="28"/>
          <w:szCs w:val="28"/>
          <w:lang w:val="en-GB"/>
        </w:rPr>
        <w:t>Сабирова, Л. Э. Развитие ораторских способностей обучающихся с помощью трансформационной психологической игры «Оратор» / Л. Э. Сабирова, Л. Р. Салимуллина // Педагогическое мастерство и современные педагогические технологии : сборник материалов Международной научно-практической конференции, Чебоксары, 25 мая 2021 года / ФГБОУ ВО «Чувашский государственный университет им. И.Н. Ульянова»; Актюбинский региональный государственный университет им. К. Жубанова. – Чебоксары: Общество с ограниченной ответственностью "Центр научного сотрудничества "Интерактив плюс", 2021. – С. 55-60. – DOI 10.21661/r-554079. – EDN KLCSBX.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Современные терапевтические и трансформационные игровые технологии. Игрофикация помогающих практик. Сборник статей // отв. ред. Ковалёва М.А. Москва, Профессиональная гильдия психологов-игропрактиков, 2019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color w:val="auto"/>
          <w:sz w:val="28"/>
          <w:szCs w:val="28"/>
          <w:u w:val="none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u w:val="none"/>
          <w:lang w:val="ru-RU"/>
        </w:rPr>
        <w:fldChar w:fldCharType="begin"/>
      </w:r>
      <w:r>
        <w:rPr>
          <w:rFonts w:hint="default" w:ascii="Times New Roman" w:hAnsi="Times New Roman" w:cs="Times New Roman"/>
          <w:color w:val="auto"/>
          <w:sz w:val="28"/>
          <w:szCs w:val="28"/>
          <w:u w:val="none"/>
          <w:lang w:val="ru-RU"/>
        </w:rPr>
        <w:instrText xml:space="preserve"> HYPERLINK "https://www.skolkovo.ru/researches/obrazovatelnye-ekosistemy-voznikayushaya-praktika-dlya-budushego-obrazovaniya/" </w:instrText>
      </w:r>
      <w:r>
        <w:rPr>
          <w:rFonts w:hint="default" w:ascii="Times New Roman" w:hAnsi="Times New Roman" w:cs="Times New Roman"/>
          <w:color w:val="auto"/>
          <w:sz w:val="28"/>
          <w:szCs w:val="28"/>
          <w:u w:val="none"/>
          <w:lang w:val="ru-RU"/>
        </w:rPr>
        <w:fldChar w:fldCharType="separate"/>
      </w:r>
      <w:r>
        <w:rPr>
          <w:rStyle w:val="5"/>
          <w:rFonts w:hint="default" w:ascii="Times New Roman" w:hAnsi="Times New Roman" w:cs="Times New Roman"/>
          <w:color w:val="auto"/>
          <w:sz w:val="28"/>
          <w:szCs w:val="28"/>
          <w:u w:val="none"/>
          <w:lang w:val="ru-RU"/>
        </w:rPr>
        <w:t>https://www.skolkovo.ru/researches/obrazovatelnye-ekosistemy-voznikayushaya-praktika-dlya-budushego-obrazovaniya/</w:t>
      </w:r>
      <w:r>
        <w:rPr>
          <w:rFonts w:hint="default" w:ascii="Times New Roman" w:hAnsi="Times New Roman" w:cs="Times New Roman"/>
          <w:color w:val="auto"/>
          <w:sz w:val="28"/>
          <w:szCs w:val="28"/>
          <w:u w:val="none"/>
          <w:lang w:val="ru-RU"/>
        </w:rPr>
        <w:fldChar w:fldCharType="end"/>
      </w:r>
    </w:p>
    <w:p>
      <w:pPr>
        <w:numPr>
          <w:ilvl w:val="0"/>
          <w:numId w:val="0"/>
        </w:numPr>
        <w:spacing w:line="360" w:lineRule="auto"/>
        <w:ind w:left="797"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shd w:val="clear" w:color="auto" w:fill="FFFFFF"/>
        <w:spacing w:line="360" w:lineRule="auto"/>
        <w:ind w:firstLine="720" w:firstLineChars="0"/>
        <w:jc w:val="right"/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</w:pPr>
    </w:p>
    <w:p>
      <w:pPr>
        <w:numPr>
          <w:ilvl w:val="0"/>
          <w:numId w:val="0"/>
        </w:numPr>
        <w:shd w:val="clear" w:color="auto" w:fill="FFFFFF"/>
        <w:spacing w:line="360" w:lineRule="auto"/>
        <w:ind w:firstLine="720" w:firstLineChars="0"/>
        <w:jc w:val="right"/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</w:pPr>
    </w:p>
    <w:p>
      <w:pPr>
        <w:spacing w:line="360" w:lineRule="auto"/>
        <w:ind w:firstLine="720" w:firstLineChars="0"/>
        <w:jc w:val="right"/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</w:pPr>
    </w:p>
    <w:p>
      <w:pPr>
        <w:spacing w:line="360" w:lineRule="auto"/>
        <w:ind w:firstLine="720" w:firstLineChars="0"/>
        <w:jc w:val="righ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>
      <w:pPr>
        <w:spacing w:line="360" w:lineRule="auto"/>
        <w:ind w:firstLine="720" w:firstLineChars="0"/>
        <w:jc w:val="righ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>
      <w:pPr>
        <w:spacing w:line="360" w:lineRule="auto"/>
        <w:ind w:firstLine="720" w:firstLineChars="0"/>
        <w:jc w:val="righ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sectPr>
      <w:pgSz w:w="11906" w:h="16838"/>
      <w:pgMar w:top="1134" w:right="1134" w:bottom="1134" w:left="1134" w:header="720" w:footer="72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obotoCondense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0D31EA"/>
    <w:multiLevelType w:val="singleLevel"/>
    <w:tmpl w:val="280D31EA"/>
    <w:lvl w:ilvl="0" w:tentative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8F2F97"/>
    <w:rsid w:val="026001F6"/>
    <w:rsid w:val="056400F6"/>
    <w:rsid w:val="070E1BE8"/>
    <w:rsid w:val="127C2406"/>
    <w:rsid w:val="12F450A8"/>
    <w:rsid w:val="15A62093"/>
    <w:rsid w:val="188F2F97"/>
    <w:rsid w:val="1CE7177B"/>
    <w:rsid w:val="1FAA3EC5"/>
    <w:rsid w:val="24836A2A"/>
    <w:rsid w:val="2E7404F1"/>
    <w:rsid w:val="348E7C3D"/>
    <w:rsid w:val="381877CA"/>
    <w:rsid w:val="39CD389F"/>
    <w:rsid w:val="39F17820"/>
    <w:rsid w:val="4AC553C9"/>
    <w:rsid w:val="4BB6474F"/>
    <w:rsid w:val="57DA16B0"/>
    <w:rsid w:val="58AC780A"/>
    <w:rsid w:val="59747B68"/>
    <w:rsid w:val="5DDB7BC8"/>
    <w:rsid w:val="610253B6"/>
    <w:rsid w:val="6B2B66DF"/>
    <w:rsid w:val="6BB613DD"/>
    <w:rsid w:val="706E3B02"/>
    <w:rsid w:val="7480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paragraph" w:styleId="6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7">
    <w:name w:val="Strong"/>
    <w:basedOn w:val="3"/>
    <w:qFormat/>
    <w:uiPriority w:val="0"/>
    <w:rPr>
      <w:b/>
      <w:bCs/>
    </w:rPr>
  </w:style>
  <w:style w:type="paragraph" w:styleId="8">
    <w:name w:val="List Paragraph"/>
    <w:basedOn w:val="1"/>
    <w:qFormat/>
    <w:uiPriority w:val="34"/>
    <w:pPr>
      <w:spacing w:line="256" w:lineRule="auto"/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image" Target="media/image20.jpeg"/><Relationship Id="rId23" Type="http://schemas.openxmlformats.org/officeDocument/2006/relationships/image" Target="media/image1.tiff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../NULL"/><Relationship Id="rId11" Type="http://schemas.microsoft.com/office/2007/relationships/hdphoto" Target="media/image8.wdp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Office_11.2.0.11225_F1E327BC-269C-435d-A152-05C5408002CA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2023-09-29T10:29:00Z</dcterms:created>
  <dc:creator>Светлана Максим�</dc:creator>
  <cp:lastModifiedBy>Светлана Максим�</cp:lastModifiedBy>
  <dcterms:modified xsi:type="dcterms:W3CDTF">2024-02-09T08:57:16Z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1033-11.2.0.11225</vt:lpwstr>
  </property>
  <property fmtid="{D5CDD505-2E9C-101B-9397-08002B2CF9AE}" pid="3" name="ICV">
    <vt:lpwstr>A45510699A134B20AE9706421D102A88</vt:lpwstr>
  </property>
</Properties>
</file>