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C3ACF" w14:textId="4E8A9C00" w:rsidR="00434856" w:rsidRPr="00371224" w:rsidRDefault="002021FC" w:rsidP="00371224">
      <w:pPr>
        <w:pStyle w:val="PreformattedTex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b/>
          <w:bCs/>
          <w:sz w:val="28"/>
          <w:szCs w:val="28"/>
          <w:lang w:val="ru-RU"/>
        </w:rPr>
        <w:t>Трансформационная игра как инструмент профилактики девиантного поведения подростков: опыт внедрения игры "Тайны заброшенного города"</w:t>
      </w:r>
    </w:p>
    <w:p w14:paraId="4D68E9B2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CDA2AFA" w14:textId="5755B7AC" w:rsidR="00434856" w:rsidRPr="00371224" w:rsidRDefault="002021FC" w:rsidP="00371224">
      <w:pPr>
        <w:pStyle w:val="PreformattedText"/>
        <w:jc w:val="righ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i/>
          <w:iCs/>
          <w:sz w:val="28"/>
          <w:szCs w:val="28"/>
          <w:lang w:val="ru-RU"/>
        </w:rPr>
        <w:t>Светлана Валентиновна Максимова</w:t>
      </w:r>
      <w:r w:rsidRPr="0037122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 </w:t>
      </w:r>
    </w:p>
    <w:p w14:paraId="18A9ABB4" w14:textId="51C01101" w:rsidR="00434856" w:rsidRPr="00B54FCC" w:rsidRDefault="00B54FCC" w:rsidP="00B54FCC">
      <w:pPr>
        <w:pStyle w:val="PreformattedText"/>
        <w:jc w:val="righ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B54FCC">
        <w:rPr>
          <w:rFonts w:ascii="Times New Roman" w:hAnsi="Times New Roman" w:cs="Times New Roman"/>
          <w:i/>
          <w:iCs/>
          <w:sz w:val="28"/>
          <w:szCs w:val="28"/>
          <w:lang w:val="ru-RU"/>
        </w:rPr>
        <w:t>Якутина Наталья Алексеевна</w:t>
      </w:r>
    </w:p>
    <w:p w14:paraId="6C43B00A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BC57334" w14:textId="46671225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Аннотация</w:t>
      </w:r>
    </w:p>
    <w:p w14:paraId="60E19098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74F70D" w14:textId="77777777" w:rsidR="00434856" w:rsidRPr="00371224" w:rsidRDefault="002021FC" w:rsidP="00371224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Статья посвящена описанию и анализу трансформационной игры «Тайны заброше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нного города», разработанной для профилактики девиантного поведения подростков. Представлена актуальная статистика роста деструктивных форм поведения среди несовершеннолетних, обоснована необходимость поиска новых эффективных методов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психопрофилактики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>. Опи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саны теоретические основы (архетипическая психология К.Г. Юнга, когнитивно-поведенческий подход, нарративная практика), механизмы работы игры и результаты апробации. Выявлены ключевые факторы, обеспечивающие эффективность метода: безопасность в проживании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кризисных ситуаций, овладение алгоритмом выхода из трудной жизненной ситуации, развитие социальной компетентности и жизнестойкости.</w:t>
      </w:r>
    </w:p>
    <w:p w14:paraId="4A3693C6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ACFFBE8" w14:textId="06D18BFE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b/>
          <w:bCs/>
          <w:sz w:val="28"/>
          <w:szCs w:val="28"/>
          <w:lang w:val="ru-RU"/>
        </w:rPr>
        <w:t>Ключевые слова: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трансформационные игры, профилактика девиантного поведения, психотехнологии, подростки, игровая психоте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рапия, метафорические техники,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командообразование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7FFB91E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A61CF37" w14:textId="43DC76D4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b/>
          <w:bCs/>
          <w:sz w:val="28"/>
          <w:szCs w:val="28"/>
          <w:lang w:val="ru-RU"/>
        </w:rPr>
        <w:t>Введение</w:t>
      </w:r>
    </w:p>
    <w:p w14:paraId="45575E3A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C6AA77" w14:textId="77777777" w:rsidR="00434856" w:rsidRPr="00371224" w:rsidRDefault="002021FC" w:rsidP="00371224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Последние три года характеризуются тревожными тенденциями в поведении несовершеннолетних. По данным Министерства внутренних дел Российской Федерации, доля тяжких и особо тяжких преступле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ний среди подростков увеличилась с 21,4% в 2016 году до 30,5% в 2022 году. Наркотизация молодежи остается серьезной проблемой: если в 2005 году преступления, связанные с незаконным оборотом наркотиков, составляли 2,4% от всех подростковых правонарушений, т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о в 2022 году этот показатель вырос до 10,5%. При этом произошло увеличение женской преступности среди несовершеннолетних с 6,8% до 8,6%.</w:t>
      </w:r>
    </w:p>
    <w:p w14:paraId="37867770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A0E638" w14:textId="77777777" w:rsidR="00434856" w:rsidRPr="00371224" w:rsidRDefault="002021FC" w:rsidP="00371224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Параллельно растут риски психического благополучия. По данным Министерства здравоохранения, суицидальные попытки сред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и подростков 15–17 лет увеличились на 12–15% за 2021–2023 годы.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Буллинг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остается распространенной проблемой: 30–40% российских школьников в 2023 году сталкивались с травлей, как очной, так и онлайн.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Кибербуллинг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растет темпами 20–30% в год. Наконец, академ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ическая дезадаптация затрагивает 10–15%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lastRenderedPageBreak/>
        <w:t>учащихся 7–11 классов, пропускающих занятия без уважительных причин.</w:t>
      </w:r>
    </w:p>
    <w:p w14:paraId="03ACC6B8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502231" w14:textId="77777777" w:rsidR="00434856" w:rsidRPr="00371224" w:rsidRDefault="002021FC" w:rsidP="00371224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Указанные данные актуализируют поиск новых, эффективных, краткосрочных и воспроизводимых методов профилактики и психокоррекции девиантного поведен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ия. Традиционные методы профилактической работы (беседы, лекции о вреде наркотиков, запугивание) показывают низкую эффективность в современной социальной ситуации. Возникает необходимость в интегративном подходе, который бы не только осуждал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дезадаптивное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поведение, но и предлагал подростку реальные инструменты для изменения своей жизненной стратегии.</w:t>
      </w:r>
    </w:p>
    <w:p w14:paraId="1B3C5EC3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106C7F" w14:textId="7BC76BFE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Теоретические основания метода</w:t>
      </w:r>
    </w:p>
    <w:p w14:paraId="5D1F1D4D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DB3F2A9" w14:textId="1D367A5C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Трансформационные игры как психотехнология</w:t>
      </w:r>
    </w:p>
    <w:p w14:paraId="4B70EF26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934FA8" w14:textId="77777777" w:rsidR="00434856" w:rsidRPr="00371224" w:rsidRDefault="002021FC" w:rsidP="00371224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b/>
          <w:bCs/>
          <w:sz w:val="28"/>
          <w:szCs w:val="28"/>
          <w:lang w:val="ru-RU"/>
        </w:rPr>
        <w:t>Трансформационная игра (Т-игра)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это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психотехнология, представляющая собой особый класс игр, цель которых состоит в трансформации собственной идентичности участника. Под идентичностью понимается система представлений человека о себе и о мире, его целях, способностях, стратегиях достижения, им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еющихся ресурсах, препятствующих установках, ценностях и предпочтениях.</w:t>
      </w:r>
    </w:p>
    <w:p w14:paraId="1C63CB7B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81F34B" w14:textId="77777777" w:rsidR="00434856" w:rsidRPr="00371224" w:rsidRDefault="002021FC" w:rsidP="00371224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В отличие от традиционных игр, построенных на жесткой конкуренции, трансформационные игры основаны на ином методологическом принципе. Они предусматривают различные варианты проведения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(со сверстниками, с родителями), предполагают многоуровневую работу и сопровождаются специальными дидактическими материалами, применимыми за пределами игровой сессии. Это обеспечивает интеграцию полученного опыта в повседневную жизнь участника.</w:t>
      </w:r>
    </w:p>
    <w:p w14:paraId="035F5446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B30B49A" w14:textId="166AD9CD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Теоре</w:t>
      </w:r>
      <w:r w:rsidRPr="00371224">
        <w:rPr>
          <w:rFonts w:ascii="Times New Roman" w:hAnsi="Times New Roman" w:cs="Times New Roman"/>
          <w:b/>
          <w:bCs/>
          <w:sz w:val="28"/>
          <w:szCs w:val="28"/>
          <w:lang w:val="ru-RU"/>
        </w:rPr>
        <w:t>тическая интеграция подходов</w:t>
      </w:r>
    </w:p>
    <w:p w14:paraId="168D7A79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CA0379E" w14:textId="11D8682D" w:rsidR="00434856" w:rsidRPr="00371224" w:rsidRDefault="003F6FE3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 разработке Т-игры «Тайны заброшенного города» мы </w:t>
      </w:r>
      <w:r w:rsidR="002021FC" w:rsidRPr="00371224">
        <w:rPr>
          <w:rFonts w:ascii="Times New Roman" w:hAnsi="Times New Roman" w:cs="Times New Roman"/>
          <w:sz w:val="28"/>
          <w:szCs w:val="28"/>
          <w:lang w:val="ru-RU"/>
        </w:rPr>
        <w:t>опира</w:t>
      </w:r>
      <w:r>
        <w:rPr>
          <w:rFonts w:ascii="Times New Roman" w:hAnsi="Times New Roman" w:cs="Times New Roman"/>
          <w:sz w:val="28"/>
          <w:szCs w:val="28"/>
          <w:lang w:val="ru-RU"/>
        </w:rPr>
        <w:t>лись</w:t>
      </w:r>
      <w:r w:rsidR="002021FC"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на интеграцию нескольких научных подходов:</w:t>
      </w:r>
    </w:p>
    <w:p w14:paraId="39828310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EEACE68" w14:textId="36214151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1. Архетипическая психология К.Г. Юнга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служит основой символико-метафорического подхода.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Город как образ здесь ол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ицетворяет внутренний мир человека, раскопки — процесс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самоисследования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и возвращения к подавленным ресурсам и мечтам. Архетипические образы (спасатель, исследователь, мудрец) активизируют бессознательные ресурсы участника.</w:t>
      </w:r>
    </w:p>
    <w:p w14:paraId="70FD6490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407E106" w14:textId="2A2B15AA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2. Когнитивно-поведенческий п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одход (КПТ)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применяется при работе с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lastRenderedPageBreak/>
        <w:t>аномальными зонами. Участник в безопасной, контролируемой среде проживает потенциально опасные ситуации (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буллинг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>, манипуляции, соблазны), заранее продумывает и проговаривает стратегии поведения. Это формирует когнитив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ные карты и поведенческие сценарии, которые могут быть активированы в реальной жизни.</w:t>
      </w:r>
    </w:p>
    <w:p w14:paraId="7D506EA1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1B11352" w14:textId="326C89DC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3. Нарративная практика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переработку личного опыта через создание новой истории. В игре каждый участник становится героем собственного нарратива, перепис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ывая свою историю отношения с трудностями.</w:t>
      </w:r>
    </w:p>
    <w:p w14:paraId="513EFBF1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542D81" w14:textId="147E0FFF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4. Теория надежной привязанност</w:t>
      </w:r>
      <w:r w:rsidR="003F6FE3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реализуется через командный формат: правило «если пропадет один, останется вся команда» моделирует поддерживающие отношения, основанные на взаимной ответственности.</w:t>
      </w:r>
    </w:p>
    <w:p w14:paraId="5062AFB7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F03848" w14:textId="43386B93" w:rsidR="00434856" w:rsidRPr="006F4ACA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писание трансформационной игры «Тайны заброшенного города»</w:t>
      </w:r>
    </w:p>
    <w:p w14:paraId="6CAC13F8" w14:textId="77777777" w:rsidR="00434856" w:rsidRPr="006F4ACA" w:rsidRDefault="00434856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0870E00" w14:textId="18315C98" w:rsidR="00434856" w:rsidRPr="006F4ACA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Сюжетная основа и метафорическая структура</w:t>
      </w:r>
    </w:p>
    <w:p w14:paraId="7830E80B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742EA3B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Игра развивается в рамках единого сюжета: археологи обнаружили остатки древнего города, жители которого были высокоразвитыми людьми. По неизвестным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причинам город в одночасье исчез под землей. Во время раскопок начинают происходить таинственные события, люди бесследно исчезают. Становится необходимо пригласить специалистов — команду «Кризис Про» из различных специалистов.</w:t>
      </w:r>
    </w:p>
    <w:p w14:paraId="2D209334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BC0D74" w14:textId="77777777" w:rsidR="00434856" w:rsidRPr="006F4ACA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Метафорическая структура игр</w:t>
      </w: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ы многослойна:</w:t>
      </w:r>
    </w:p>
    <w:p w14:paraId="2A5CF3A2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FB552F" w14:textId="1AF37E3F" w:rsidR="00434856" w:rsidRPr="00371224" w:rsidRDefault="003F6FE3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2021FC" w:rsidRPr="00371224">
        <w:rPr>
          <w:rFonts w:ascii="Times New Roman" w:hAnsi="Times New Roman" w:cs="Times New Roman"/>
          <w:sz w:val="28"/>
          <w:szCs w:val="28"/>
          <w:lang w:val="ru-RU"/>
        </w:rPr>
        <w:t>Город</w:t>
      </w:r>
      <w:r w:rsidR="002021FC"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это внутренний мир человека, его жизнь, которые по какой-то причине (травмы, кризисы, ошибки) оказались подавленными</w:t>
      </w:r>
    </w:p>
    <w:p w14:paraId="26FFC2EB" w14:textId="2F2F8FBA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Раскопки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процесс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самоисследования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, рефлексии, возвращения к подавленным частям, поиск скрытых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ресурсов</w:t>
      </w:r>
    </w:p>
    <w:p w14:paraId="3CE578DA" w14:textId="7920B91B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Деньги (86 400 условных единиц)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— прямая метафора времени (в сутках 86 400 секунд). Игра наглядно демонстрирует, как участник распределяет свой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невозобновляемый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ресурс на разные сферы жизни (саморазвитие, здоровье, отношения) или теряет его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в аномальных зонах</w:t>
      </w:r>
    </w:p>
    <w:p w14:paraId="4A5A27F9" w14:textId="2B5DA44F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Аномальные зоны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метафора рисковых и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дезадаптивных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моделей поведения: склонность к зависимостям, попадание в деструктивные группы,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буллинг</w:t>
      </w:r>
      <w:proofErr w:type="spellEnd"/>
    </w:p>
    <w:p w14:paraId="7FBC610E" w14:textId="60013D06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Артефакты и послание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символ утраченной мудрости и жизненных ресурсов, которые предс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тоит обнаружить и осмыслить</w:t>
      </w:r>
    </w:p>
    <w:p w14:paraId="78E461F9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8F9274" w14:textId="3D1DD2BA" w:rsidR="00434856" w:rsidRPr="006F4ACA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Игровые роли и их функции</w:t>
      </w:r>
    </w:p>
    <w:p w14:paraId="5AF255DD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D4E484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lastRenderedPageBreak/>
        <w:t>Каждый участник перед началом игры выбирает себе роль из предложенных девяти вариантов, что позволяет ему примерить на себя новую социальную маску и проявить те качества, которые в обычной жизни м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огут оставаться скрытыми:</w:t>
      </w:r>
    </w:p>
    <w:p w14:paraId="0B4F5EA5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EE8660" w14:textId="2FAE970C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Спасатель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хранитель ресурсов, распределяет карты «Фонарь» (символы помощи) в подходящие моменты, в конце зачитывает рекомендации по повышению жизнестойкости.</w:t>
      </w:r>
    </w:p>
    <w:p w14:paraId="1FA6180C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1F551E9" w14:textId="76FF3D3E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Ученый-исследователь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задает уточняющие вопросы, собирает ч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асти послания, пишет и зачитывает научный отчет о результатах экспедиции.</w:t>
      </w:r>
    </w:p>
    <w:p w14:paraId="7B543168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F853D9" w14:textId="631BB680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Психолог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поддерживает участников, мотивирует, дает положительную обратную связь, замечает в каждом позитивные качества.</w:t>
      </w:r>
    </w:p>
    <w:p w14:paraId="3CB5896B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65A2B1" w14:textId="62D966DD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Врач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следит за состоянием участников, предлагает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выпить воды или отдохнуть, в конце зачитывает отчет об изменении состояния.</w:t>
      </w:r>
    </w:p>
    <w:p w14:paraId="251F2B75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D2E219" w14:textId="16A78FD1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Археолог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изучает найденные артефакты, фиксирует их интерпретации, отмечает найденные артефакты на карте.</w:t>
      </w:r>
    </w:p>
    <w:p w14:paraId="3038B492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741691" w14:textId="7476AFA3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Журналист-фотограф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берет интервью в начале, фиксирует интере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сные моменты, собирает обратную связь, пишет репортаж.</w:t>
      </w:r>
    </w:p>
    <w:p w14:paraId="22925DC4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23FEAB" w14:textId="10A381FB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Руководитель группы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следит за выполнением правил, помогает в трудных ситуациях, в конце дает каждому обратную связь о его ценности для команды.</w:t>
      </w:r>
    </w:p>
    <w:p w14:paraId="53EDD77D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268B14" w14:textId="2F39FD04" w:rsidR="00434856" w:rsidRPr="006F4ACA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Технические и процедурные компоненты</w:t>
      </w:r>
    </w:p>
    <w:p w14:paraId="78B22A65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11645F" w14:textId="74F9BB5A" w:rsidR="00434856" w:rsidRPr="00371224" w:rsidRDefault="00C153A3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Игровая механика: </w:t>
      </w:r>
      <w:r w:rsidR="002021FC"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каждому участнику выдается 86 400 условных единиц, которые распределяются по различным жизненным сферам согласно предложенному бланку </w:t>
      </w:r>
      <w:r w:rsidR="002021FC" w:rsidRPr="00371224">
        <w:rPr>
          <w:rFonts w:ascii="Times New Roman" w:hAnsi="Times New Roman" w:cs="Times New Roman"/>
          <w:sz w:val="28"/>
          <w:szCs w:val="28"/>
          <w:lang w:val="ru-RU"/>
        </w:rPr>
        <w:t>(саморазвитие, хобби, карьера, здоровье, семья, друзья, кумиры).</w:t>
      </w:r>
    </w:p>
    <w:p w14:paraId="44446ED9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05D489C" w14:textId="291E12FA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Локации города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: включают территории с различными заданиями:</w:t>
      </w:r>
    </w:p>
    <w:p w14:paraId="65B750FA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- Локация «Семья» — обращается к системе отношений участника</w:t>
      </w:r>
    </w:p>
    <w:p w14:paraId="44AA6B86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- Локация «Парк» — развивает социальные навыки</w:t>
      </w:r>
    </w:p>
    <w:p w14:paraId="58EBD250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- Локация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«Университет» — структурирует мысли, формулирует цели</w:t>
      </w:r>
    </w:p>
    <w:p w14:paraId="69F030B6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- Локация «Планетарий» — работает с образом будущего и мотивацией</w:t>
      </w:r>
    </w:p>
    <w:p w14:paraId="3E89944D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0B342D" w14:textId="6882DFCF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Аномальные зоны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символизируют рисковые ситуации:</w:t>
      </w:r>
    </w:p>
    <w:p w14:paraId="2BDD72E6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1. Соблазны, легкие деньги</w:t>
      </w:r>
    </w:p>
    <w:p w14:paraId="698D9F25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2. «За компанию! А, слабо?» (давление группы)</w:t>
      </w:r>
    </w:p>
    <w:p w14:paraId="791F341E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3. Конфли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кты</w:t>
      </w:r>
    </w:p>
    <w:p w14:paraId="3D1F4F65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lastRenderedPageBreak/>
        <w:t>4. Сомнительные предложения</w:t>
      </w:r>
    </w:p>
    <w:p w14:paraId="7535B020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5. Плохое настроение, лень, апатия</w:t>
      </w:r>
    </w:p>
    <w:p w14:paraId="27B2C50C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6. Манипуляции</w:t>
      </w:r>
    </w:p>
    <w:p w14:paraId="103E15EF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8DC2A9F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При попадании в аномальную зону участник бросает кубик, теряет соответствующее количество денег и должен выполнить задание для получения артефакта силы. Если задание не выпо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лняется, деньги </w:t>
      </w:r>
      <w:proofErr w:type="gramStart"/>
      <w:r w:rsidRPr="00371224">
        <w:rPr>
          <w:rFonts w:ascii="Times New Roman" w:hAnsi="Times New Roman" w:cs="Times New Roman"/>
          <w:sz w:val="28"/>
          <w:szCs w:val="28"/>
          <w:lang w:val="ru-RU"/>
        </w:rPr>
        <w:t>«сгорают»</w:t>
      </w:r>
      <w:proofErr w:type="gramEnd"/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и участник остается в ловушке до помощи команды.</w:t>
      </w:r>
    </w:p>
    <w:p w14:paraId="715BE376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D320D91" w14:textId="06CBEA9C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Правила группы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: конфиденциальность, добровольность, сигнал «стоп» — создают безопасное пространство, необходимое для проработки кризисных тем.</w:t>
      </w:r>
    </w:p>
    <w:p w14:paraId="343F5C80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CC78D5" w14:textId="52EB4A32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Алгоритм выхода из кризиса</w:t>
      </w:r>
    </w:p>
    <w:p w14:paraId="28447785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A9F1C5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Ключевым компонентом игры является обучение алгоритму выхода из трудной жизненной ситуации:</w:t>
      </w:r>
    </w:p>
    <w:p w14:paraId="43AD0535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FAD98A5" w14:textId="3F3F2273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1. Осознание кризиса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признание наличия проблемы и своих чувств без осуждения. Участник озвучивает: «мне страшно», «мне больно» и т.д.</w:t>
      </w:r>
    </w:p>
    <w:p w14:paraId="21C5DC57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A2CCBF" w14:textId="3F5626F5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2. Понимание причин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анализ того, почему произошла данная ситуация. Участник обращается к психологу (символически — к колоде карт «Ключ»).</w:t>
      </w:r>
    </w:p>
    <w:p w14:paraId="06959EBF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4F7B352" w14:textId="22BF4C20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3. Переосмысление обычных реакций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обсуждение типичных стратегий в команде, оценка их конструктивности.</w:t>
      </w:r>
    </w:p>
    <w:p w14:paraId="1DA71188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583F7C" w14:textId="60ADEAAA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Мобилизация ресурсов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поиск внутренних и внешних ресурсов. Участник просит карту с ресурсом у врача.</w:t>
      </w:r>
    </w:p>
    <w:p w14:paraId="2D8850EA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94E4D1" w14:textId="30655A2F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5. Осознание приобретенного навыка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рефлексия о том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, какой жизненный урок извлечен.</w:t>
      </w:r>
    </w:p>
    <w:p w14:paraId="281B0E87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1091A66" w14:textId="44C6291A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6. Благодарность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завершающий этап, по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зволяющий закрепить позитивный опыт.</w:t>
      </w:r>
    </w:p>
    <w:p w14:paraId="45468E3A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182A07" w14:textId="72528CD4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Механизмы эффективности</w:t>
      </w:r>
    </w:p>
    <w:p w14:paraId="4E1120D0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24B657" w14:textId="7F4BF64D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Проективная техника лепки аватара</w:t>
      </w:r>
    </w:p>
    <w:p w14:paraId="5573D4DC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B9F109" w14:textId="77777777" w:rsidR="00434856" w:rsidRPr="00371224" w:rsidRDefault="002021FC" w:rsidP="00972046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Лепка аватара из глины служит проективной техникой, позволяющей на символическом уровне выразить свое «Я». В процессе лепки участник проживает вну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треннюю трансформацию, внешняя форма становится зримым представлением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lastRenderedPageBreak/>
        <w:t>его идентичности.</w:t>
      </w:r>
    </w:p>
    <w:p w14:paraId="1360D371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9C627B" w14:textId="7DC13FEC" w:rsidR="00434856" w:rsidRPr="006F4ACA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Безопасность через метафору</w:t>
      </w:r>
    </w:p>
    <w:p w14:paraId="7E7AC6A5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23B076" w14:textId="77777777" w:rsidR="00434856" w:rsidRPr="00371224" w:rsidRDefault="002021FC" w:rsidP="00972046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Проработка сложных ситуаций происходит не напрямую, что может вызвать психологические защиты и сопротивление. Вместо этого работа веде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тся через метафору, снижая напряжение и позволяя участнику безопасно исследовать свои проблемы и варианты их решения. Эта дистанция особенно важна при работе с подростками, у которых прямые запреты и нравоучения часто вызывают противодействие.</w:t>
      </w:r>
    </w:p>
    <w:p w14:paraId="3F3576E9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1F8C89" w14:textId="197A77AA" w:rsidR="00434856" w:rsidRPr="006F4ACA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Социаль</w:t>
      </w: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ная гибкость и взаимопомощь</w:t>
      </w:r>
    </w:p>
    <w:p w14:paraId="325F069D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8D7A46" w14:textId="77777777" w:rsidR="00434856" w:rsidRPr="00371224" w:rsidRDefault="002021FC" w:rsidP="00972046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Командный формат и система ролей развивают социальную гибкость. Каждый участник не просто проходит свой путь, но и становится ресурсом для других. Попадая в аномальную зону, участник может получить помощь от любого члена команд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ы, что укрепляет навыки просить и предоставлять поддержку.</w:t>
      </w:r>
    </w:p>
    <w:p w14:paraId="0898881E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EAA96F7" w14:textId="1CD87290" w:rsidR="00434856" w:rsidRPr="006F4ACA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Когнитивное </w:t>
      </w:r>
      <w:proofErr w:type="spellStart"/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переструктурирование</w:t>
      </w:r>
      <w:proofErr w:type="spellEnd"/>
    </w:p>
    <w:p w14:paraId="516E736D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4EEC8D" w14:textId="77777777" w:rsidR="00434856" w:rsidRPr="00371224" w:rsidRDefault="002021FC" w:rsidP="00972046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Аффирмации в порталах будущего («Я открыт новому», «Я свободен») работают как инструмент позитивного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самопрограммирования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>, направленные на изменение деструкти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вных глубинных убеждений. Игра помогает выявить иррациональные установки («мне должны дать деньги», «я не могу противостоять группе») и заменить их на более адаптивные.</w:t>
      </w:r>
    </w:p>
    <w:p w14:paraId="0FD5896F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06213F" w14:textId="3F9E2D19" w:rsidR="00434856" w:rsidRPr="006F4ACA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Формирование поведенческих сценариев</w:t>
      </w:r>
    </w:p>
    <w:p w14:paraId="1C363106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03836D" w14:textId="77777777" w:rsidR="00434856" w:rsidRPr="00371224" w:rsidRDefault="002021FC" w:rsidP="00972046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Проживание в условиях игры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потенциально опасных ситуаций формирует когнитивные карты и поведенческие сценарии, которые могут быть активированы в реальной жизни. Участник получает таким образом «готовый к использованию» набор ответов на типичные вызовы.</w:t>
      </w:r>
    </w:p>
    <w:p w14:paraId="2FD5DB0B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ABC38D" w14:textId="3234FC6A" w:rsidR="00434856" w:rsidRPr="006F4ACA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Результаты апробации </w:t>
      </w: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и наблюдаемые эффекты</w:t>
      </w:r>
    </w:p>
    <w:p w14:paraId="5579BAAF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FBA9D6" w14:textId="77777777" w:rsidR="00434856" w:rsidRPr="00371224" w:rsidRDefault="002021FC" w:rsidP="00972046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Трансформационная игра «Тайны заброшенного города» апробирована в образовательных учреждениях Московского региона. Наблюдаемые эффекты включают:</w:t>
      </w:r>
    </w:p>
    <w:p w14:paraId="06AF3D8E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D916A7" w14:textId="5E598C0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Развитие жизнестойкости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участники осознают, что трудная ситуация — это не наказан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ие, а возможность обучения и развития. Они приобретают установку на преодоление, а не избегание трудностей.</w:t>
      </w:r>
    </w:p>
    <w:p w14:paraId="2246C2A3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FA5A303" w14:textId="329C05BF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Освоение алгоритма выхода из кризиса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большинство участников после игры могут назвать шаги, которые необходимо предпринять при столкновении с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трудной жизненной ситуацией, и применить их на практике.</w:t>
      </w:r>
    </w:p>
    <w:p w14:paraId="606B5B9E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1A698B7" w14:textId="29935FEA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Развитие эмпатии и социальной компетентности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принятие различных ролей, поддержка товарищей, переживание общей задачи приводят к развитию способности понимать другого и оказывать помощь.</w:t>
      </w:r>
    </w:p>
    <w:p w14:paraId="3F3D4F91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E223229" w14:textId="6619B2A1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Осо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знанное планирование будущего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работа с локациями, особенно с портал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ом будущего, помогает подросткам</w:t>
      </w:r>
      <w:r w:rsidR="00F85A80">
        <w:rPr>
          <w:rFonts w:ascii="Times New Roman" w:hAnsi="Times New Roman" w:cs="Times New Roman"/>
          <w:sz w:val="28"/>
          <w:szCs w:val="28"/>
          <w:lang w:val="ru-RU"/>
        </w:rPr>
        <w:t xml:space="preserve"> построить картину своего позитивного будущего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0EB297B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A344AE" w14:textId="24ED8A54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Снижение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дезадаптивных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установок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через игровую метафору подрост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ки переосмысляют свое отношение к рискованному поведению, видят его скрытые издержки (потерю времени, здоровья, отношений).</w:t>
      </w:r>
    </w:p>
    <w:p w14:paraId="7A8E7763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87094D" w14:textId="3FDF2A89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Укрепление группового единства</w:t>
      </w:r>
      <w:r w:rsidR="00F85A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— совместное преодоление трудностей в игре создает ощущение принадлежности и поддержки, что особ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енно важно для подростков, находящихся в ситуации социального одиночества.</w:t>
      </w:r>
    </w:p>
    <w:p w14:paraId="457C9E06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01EA77" w14:textId="62574BE8" w:rsidR="00434856" w:rsidRPr="006F4ACA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Практическое применение в образовательной среде</w:t>
      </w:r>
    </w:p>
    <w:p w14:paraId="4A8CAB60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1975B0B" w14:textId="5966C717" w:rsidR="00434856" w:rsidRPr="00F85A80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85A8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для эффективного внедрения</w:t>
      </w:r>
    </w:p>
    <w:p w14:paraId="768C6E50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70F18C" w14:textId="77777777" w:rsidR="00434856" w:rsidRPr="00371224" w:rsidRDefault="002021FC" w:rsidP="00F85A80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Трансформационные игры реализуются только при наличии специального обучения ведущих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на курсах повышения квалификации. Это обусловлено тем, что игры требуют от ведущего глубоких знаний как в аспектах игровой технологии, так и основ управления групповой динамикой, психологической безопасности, работы с кризисными состояниями.</w:t>
      </w:r>
    </w:p>
    <w:p w14:paraId="7BEF2C59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1F437D" w14:textId="4C62A1A5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Лаборатория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«Т-игры в образовании» предлагает различные варианты профессиональной подготовки:</w:t>
      </w:r>
      <w:r w:rsidR="00F85A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Теоретический блок (16 часов)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основы метода, психологические механизмы, игровая методология</w:t>
      </w:r>
      <w:r w:rsidR="00F85A8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ТБ + 1 игра (18 часов)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практическое овладение одной из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трансформационных игр</w:t>
      </w:r>
      <w:r w:rsidR="00F85A8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ТБ + 3 игры (36 часов)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освоение трех игр на выбор</w:t>
      </w:r>
      <w:r w:rsidR="00F85A8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ТБ + </w:t>
      </w:r>
      <w:r w:rsidR="00F85A80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игр (72 часа)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полный курс повышения квалификации с выдачей свидетельства государственного образца</w:t>
      </w:r>
      <w:r w:rsidR="00F85A8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56D02A7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0B9E41" w14:textId="32B460E9" w:rsidR="00434856" w:rsidRPr="00F85A80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85A80"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Материально-технические требования</w:t>
      </w:r>
    </w:p>
    <w:p w14:paraId="02C2F870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CC1857B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Проведение игры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требует минимальных материалов:</w:t>
      </w:r>
    </w:p>
    <w:p w14:paraId="772A7A47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- Глина (для лепки аватаров)</w:t>
      </w:r>
    </w:p>
    <w:p w14:paraId="33A1E846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- Карточки с описанием ролей и заданий</w:t>
      </w:r>
    </w:p>
    <w:p w14:paraId="6558A51C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lastRenderedPageBreak/>
        <w:t>- Кубики для определения потерь в аномальных зонах</w:t>
      </w:r>
    </w:p>
    <w:p w14:paraId="14C321A7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- Условные деньги (бумажные номиналы)</w:t>
      </w:r>
    </w:p>
    <w:p w14:paraId="1CEECE86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- Бланки участников для фиксации распределения ресурсов</w:t>
      </w:r>
    </w:p>
    <w:p w14:paraId="1075AFC4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- Карты с р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есурсами, аффирмациями, послания</w:t>
      </w:r>
    </w:p>
    <w:p w14:paraId="0DE4B7D1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A6C7697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Игра может проводиться в любом помещении достаточного размера, способном вместить группу из 8–12 человек.</w:t>
      </w:r>
    </w:p>
    <w:p w14:paraId="4E0E3208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1A23912" w14:textId="03A0D46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Рекомендации по использованию в школьной практике</w:t>
      </w:r>
    </w:p>
    <w:p w14:paraId="17742B0D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EA45E73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Игра может быть интегрирована в работу следующих служб и спе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циалистов:</w:t>
      </w:r>
    </w:p>
    <w:p w14:paraId="62C83B9D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A3EE12" w14:textId="6826F3E1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Психолог школы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как инструмент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психопрофилактики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девиантного поведения, групповой работы с подростками группы риска.</w:t>
      </w:r>
    </w:p>
    <w:p w14:paraId="49F101EE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DE3D5B0" w14:textId="2A8954E4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Социальный педагог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как метод адаптации и ресоциализации.</w:t>
      </w:r>
    </w:p>
    <w:p w14:paraId="68898CB0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E72E46" w14:textId="1B9172F6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Классный руководитель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как внеклассное мероприятие д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ля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командообразования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и развития социальных компетенций.</w:t>
      </w:r>
    </w:p>
    <w:p w14:paraId="62E73AAC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BC2D371" w14:textId="18A36D40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Воспитатель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(в системе дополнительного образования, в учреждениях для детей с девиантным поведением) — как средство осознанного планирования жизни и развития ответственности.</w:t>
      </w:r>
    </w:p>
    <w:p w14:paraId="5C3672A9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D9AAB7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Рекомендуемые периодичность: 1–2 сессии в год для профилактической работы; 4–8 сессий в год для более интенсивной работы с подростками группы риска.</w:t>
      </w:r>
    </w:p>
    <w:p w14:paraId="4C7708D8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ACA6A0" w14:textId="50A2FD93" w:rsidR="00434856" w:rsidRPr="00F85A80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85A80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Обсуждение результатов</w:t>
      </w:r>
    </w:p>
    <w:p w14:paraId="0380FB3B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32B545" w14:textId="31F24DDB" w:rsidR="00434856" w:rsidRPr="00F85A80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85A80">
        <w:rPr>
          <w:rFonts w:ascii="Times New Roman" w:hAnsi="Times New Roman" w:cs="Times New Roman"/>
          <w:b/>
          <w:bCs/>
          <w:sz w:val="28"/>
          <w:szCs w:val="28"/>
          <w:lang w:val="ru-RU"/>
        </w:rPr>
        <w:t>Сравнение с традиционными методами профилактики</w:t>
      </w:r>
    </w:p>
    <w:p w14:paraId="6260B955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B2E498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В сравнении с традици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онными подходами (информационные беседы, лекции о вреде наркотиков, показ документальных фильмов) трансформационная игра обладает рядом преимуществ:</w:t>
      </w:r>
    </w:p>
    <w:p w14:paraId="70F87894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736AC0C" w14:textId="1B7C9CA8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Активное участие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вместо пассивного прослушивания подросток становится субъектом действия, что пов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ышает его вовлеченность и мотивацию к изменениям.</w:t>
      </w:r>
    </w:p>
    <w:p w14:paraId="5772F996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0DDD64B" w14:textId="737E054F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Экспери</w:t>
      </w:r>
      <w:r w:rsidR="00F85A80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ентальное обучение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знания и навыки приобретаются не через интеллектуальное понимание, а через проживание опыта, что обеспечивает более глубокую интеграцию.</w:t>
      </w:r>
    </w:p>
    <w:p w14:paraId="0972DD2E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9BF0C6" w14:textId="1D79D624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3.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Работа с сопротивлением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метафорический характер игры снижает психологические защиты подростка и его тенденцию к </w:t>
      </w:r>
      <w:proofErr w:type="spellStart"/>
      <w:r w:rsidRPr="00371224">
        <w:rPr>
          <w:rFonts w:ascii="Times New Roman" w:hAnsi="Times New Roman" w:cs="Times New Roman"/>
          <w:sz w:val="28"/>
          <w:szCs w:val="28"/>
          <w:lang w:val="ru-RU"/>
        </w:rPr>
        <w:t>контрсугестии</w:t>
      </w:r>
      <w:proofErr w:type="spellEnd"/>
      <w:r w:rsidRPr="0037122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770A535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7ED4D2" w14:textId="6A1EF71E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Развитие произвольной саморегуляции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прохождение алгоритма выхода из кризиса в безопасной среде формирует привычку, которая может быть задейств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ована в реальных ситуациях.</w:t>
      </w:r>
    </w:p>
    <w:p w14:paraId="17B74BCA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DE35381" w14:textId="736E6620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Развитие социальных ресурсов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командный формат укрепляет социальные связи подростка, его чувство принадлежности.</w:t>
      </w:r>
    </w:p>
    <w:p w14:paraId="450774DF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1B7656" w14:textId="0707DE65" w:rsidR="00434856" w:rsidRPr="00F85A80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85A80">
        <w:rPr>
          <w:rFonts w:ascii="Times New Roman" w:hAnsi="Times New Roman" w:cs="Times New Roman"/>
          <w:b/>
          <w:bCs/>
          <w:sz w:val="28"/>
          <w:szCs w:val="28"/>
          <w:lang w:val="ru-RU"/>
        </w:rPr>
        <w:t>Ограничения и условия эффективности</w:t>
      </w:r>
    </w:p>
    <w:p w14:paraId="1A97AD97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EB465B" w14:textId="7777777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Однако метод имеет и определенные ограничения:</w:t>
      </w:r>
    </w:p>
    <w:p w14:paraId="27F6FC5C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93C0D18" w14:textId="2BD275EF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Требует спе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циально подготовленных ведущих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применение требует знания психологии, игровой методики и навыков групповой работы.</w:t>
      </w:r>
    </w:p>
    <w:p w14:paraId="1FCF29FD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98A8156" w14:textId="74903BC7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Индивидуальные различия в восприимчивости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некоторые подростки, особенно те, кто испытывает глубокую травму или находится в остро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м кризисе, могут испытывать трудности с символической работой.</w:t>
      </w:r>
    </w:p>
    <w:p w14:paraId="0190A374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DB3923" w14:textId="437B7C7E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Необходимость долгосрочной работы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однократное прохождение игры дает эффект, но для устойчивых изменений требуется систематическая работа.</w:t>
      </w:r>
    </w:p>
    <w:p w14:paraId="092BBCB3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DF2DADB" w14:textId="6397B8ED" w:rsidR="00434856" w:rsidRPr="00371224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Зависимость от группового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климата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эффективность игры во многом зависит от качества межличностных отношений в группе и навыков ведущего в управлении групповой динамикой.</w:t>
      </w:r>
    </w:p>
    <w:p w14:paraId="18C2F21E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15139A" w14:textId="4E9E54A8" w:rsidR="00434856" w:rsidRPr="00F85A80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85A80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Заключение</w:t>
      </w:r>
    </w:p>
    <w:p w14:paraId="189DDEAD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B74639E" w14:textId="77777777" w:rsidR="00434856" w:rsidRPr="00371224" w:rsidRDefault="002021FC" w:rsidP="006F4ACA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Трансформационная игра «Тайны заброшенного города» представляет собой инновационный инст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румент профилактики девиантного поведения подростков, отвечающий актуальным запросам современной образовательной практики. Интеграция архетипической психологии, когнитивно-поведенческого подхода и нарративной практики создает мощную психотехнологию, котора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я работает не с подавлением деструктивного поведения, а с развитием конструктивных альтернатив и жизненных ресурсов.</w:t>
      </w:r>
    </w:p>
    <w:p w14:paraId="3B1E9D42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083C65E" w14:textId="77777777" w:rsidR="00434856" w:rsidRPr="00371224" w:rsidRDefault="002021FC" w:rsidP="006F4ACA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Ключевые преимущества метода — безопасность через метафору, активное проживание опыта, формирование алгоритма выхода из кризиса, развитие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социальной компетентности и жизнестойкости. Апробация в образовательных учреждениях показала, что подростки овладевают не только знаниями о том, как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lastRenderedPageBreak/>
        <w:t>вести себя при столкновении с трудностями, но и приобретают реальный опыт конструктивного поведения и взаим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ной поддержки.</w:t>
      </w:r>
    </w:p>
    <w:p w14:paraId="7A5DD25F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C5C78A0" w14:textId="77777777" w:rsidR="00434856" w:rsidRPr="00371224" w:rsidRDefault="002021FC" w:rsidP="006F4ACA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Дальнейшее распространение метода требует систематической подготовки специалистов, развития материально-методической базы и расширения исследовательской базы для количественной оценки эффективности. Вместе с тем, уже имеющийся опыт позволяе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>т рекомендовать данный метод психологам, социальным педагогам и другим специалистам образовательных учреждений, работающим с подростками и решающим задачи профилактики девиантного поведения, развития социальной компетентности и жизнестойкости.</w:t>
      </w:r>
    </w:p>
    <w:p w14:paraId="028C848B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2D3" w14:textId="4A07EBE1" w:rsidR="00434856" w:rsidRPr="006F4ACA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Лит</w:t>
      </w: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ература</w:t>
      </w:r>
    </w:p>
    <w:p w14:paraId="5B9B8DE1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3C9E41" w14:textId="4F90ABD8" w:rsidR="0002773B" w:rsidRPr="0002773B" w:rsidRDefault="0002773B" w:rsidP="0002773B">
      <w:pPr>
        <w:pStyle w:val="PreformattedText"/>
        <w:numPr>
          <w:ilvl w:val="0"/>
          <w:numId w:val="1"/>
        </w:numPr>
        <w:tabs>
          <w:tab w:val="clear" w:pos="1070"/>
        </w:tabs>
        <w:ind w:left="0" w:hanging="44"/>
        <w:rPr>
          <w:rFonts w:ascii="Times New Roman" w:hAnsi="Times New Roman" w:cs="Times New Roman"/>
          <w:sz w:val="28"/>
          <w:szCs w:val="28"/>
          <w:lang w:val="ru-RU"/>
        </w:rPr>
      </w:pPr>
      <w:r w:rsidRPr="0002773B">
        <w:rPr>
          <w:rFonts w:ascii="Times New Roman" w:hAnsi="Times New Roman" w:cs="Times New Roman"/>
          <w:sz w:val="28"/>
          <w:szCs w:val="28"/>
          <w:lang w:val="ru-RU"/>
        </w:rPr>
        <w:t xml:space="preserve">Максимова </w:t>
      </w:r>
      <w:proofErr w:type="gramStart"/>
      <w:r w:rsidRPr="0002773B">
        <w:rPr>
          <w:rFonts w:ascii="Times New Roman" w:hAnsi="Times New Roman" w:cs="Times New Roman"/>
          <w:sz w:val="28"/>
          <w:szCs w:val="28"/>
          <w:lang w:val="ru-RU"/>
        </w:rPr>
        <w:t>С.В  Развитие</w:t>
      </w:r>
      <w:proofErr w:type="gramEnd"/>
      <w:r w:rsidRPr="0002773B">
        <w:rPr>
          <w:rFonts w:ascii="Times New Roman" w:hAnsi="Times New Roman" w:cs="Times New Roman"/>
          <w:sz w:val="28"/>
          <w:szCs w:val="28"/>
          <w:lang w:val="ru-RU"/>
        </w:rPr>
        <w:t xml:space="preserve"> творческого потенциала личности с помощью трансформационной игры «Геном творчества» // Сборник конференции «Современные терапевтические и трансформационные игровые технологии», Москва  2018, М. 2019, с 54 – 60</w:t>
      </w:r>
    </w:p>
    <w:p w14:paraId="708FFD3A" w14:textId="77777777" w:rsidR="0002773B" w:rsidRPr="0002773B" w:rsidRDefault="0002773B" w:rsidP="0002773B">
      <w:pPr>
        <w:pStyle w:val="PreformattedText"/>
        <w:numPr>
          <w:ilvl w:val="0"/>
          <w:numId w:val="1"/>
        </w:numPr>
        <w:tabs>
          <w:tab w:val="clear" w:pos="1070"/>
        </w:tabs>
        <w:ind w:left="0" w:hanging="44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02773B">
        <w:rPr>
          <w:rFonts w:ascii="Times New Roman" w:hAnsi="Times New Roman" w:cs="Times New Roman"/>
          <w:sz w:val="28"/>
          <w:szCs w:val="28"/>
          <w:lang w:val="ru-RU"/>
        </w:rPr>
        <w:t>Максимова С.В. Игровые решения для профилактики и коррекции агрессивного поведения школьников / Педагогическая поддержка – стратегия безопасности пространства детства: материалы Международной научно-практической конференции // Москва, 28 октября 2021 г. РАНХиГС; ФИРО / под ред. И.Н. Поповой. – СПб.: ГНИИ «</w:t>
      </w:r>
      <w:proofErr w:type="spellStart"/>
      <w:r w:rsidRPr="0002773B">
        <w:rPr>
          <w:rFonts w:ascii="Times New Roman" w:hAnsi="Times New Roman" w:cs="Times New Roman"/>
          <w:sz w:val="28"/>
          <w:szCs w:val="28"/>
          <w:lang w:val="ru-RU"/>
        </w:rPr>
        <w:t>Нацразвитие</w:t>
      </w:r>
      <w:proofErr w:type="spellEnd"/>
      <w:r w:rsidRPr="0002773B">
        <w:rPr>
          <w:rFonts w:ascii="Times New Roman" w:hAnsi="Times New Roman" w:cs="Times New Roman"/>
          <w:sz w:val="28"/>
          <w:szCs w:val="28"/>
          <w:lang w:val="ru-RU"/>
        </w:rPr>
        <w:t xml:space="preserve">», 2021. – 164 с. - ISBN 978-5-907437-49-4, с.106-111 (0,3 </w:t>
      </w:r>
      <w:proofErr w:type="spellStart"/>
      <w:r w:rsidRPr="0002773B">
        <w:rPr>
          <w:rFonts w:ascii="Times New Roman" w:hAnsi="Times New Roman" w:cs="Times New Roman"/>
          <w:sz w:val="28"/>
          <w:szCs w:val="28"/>
          <w:lang w:val="ru-RU"/>
        </w:rPr>
        <w:t>п.л</w:t>
      </w:r>
      <w:proofErr w:type="spellEnd"/>
      <w:r w:rsidRPr="0002773B">
        <w:rPr>
          <w:rFonts w:ascii="Times New Roman" w:hAnsi="Times New Roman" w:cs="Times New Roman"/>
          <w:sz w:val="28"/>
          <w:szCs w:val="28"/>
          <w:lang w:val="ru-RU"/>
        </w:rPr>
        <w:t>.)</w:t>
      </w:r>
    </w:p>
    <w:p w14:paraId="5EF27D33" w14:textId="77777777" w:rsidR="0002773B" w:rsidRPr="0002773B" w:rsidRDefault="0002773B" w:rsidP="0002773B">
      <w:pPr>
        <w:pStyle w:val="PreformattedText"/>
        <w:numPr>
          <w:ilvl w:val="0"/>
          <w:numId w:val="1"/>
        </w:numPr>
        <w:tabs>
          <w:tab w:val="clear" w:pos="1070"/>
        </w:tabs>
        <w:ind w:left="0" w:hanging="44"/>
        <w:rPr>
          <w:rFonts w:ascii="Times New Roman" w:hAnsi="Times New Roman" w:cs="Times New Roman"/>
          <w:sz w:val="28"/>
          <w:szCs w:val="28"/>
          <w:lang w:val="ru-RU"/>
        </w:rPr>
      </w:pPr>
      <w:r w:rsidRPr="0002773B">
        <w:rPr>
          <w:rFonts w:ascii="Times New Roman" w:hAnsi="Times New Roman" w:cs="Times New Roman"/>
          <w:sz w:val="28"/>
          <w:szCs w:val="28"/>
          <w:lang w:val="ru-RU"/>
        </w:rPr>
        <w:t>Максимова С.В.</w:t>
      </w:r>
      <w:r w:rsidRPr="0002773B">
        <w:rPr>
          <w:rFonts w:ascii="Times New Roman" w:hAnsi="Times New Roman" w:cs="Times New Roman"/>
          <w:i/>
          <w:iCs/>
          <w:sz w:val="28"/>
          <w:szCs w:val="28"/>
          <w:lang w:val="ru-RU"/>
        </w:rPr>
        <w:t> </w:t>
      </w:r>
      <w:r w:rsidRPr="0002773B">
        <w:rPr>
          <w:rFonts w:ascii="Times New Roman" w:hAnsi="Times New Roman" w:cs="Times New Roman"/>
          <w:sz w:val="28"/>
          <w:szCs w:val="28"/>
          <w:lang w:val="ru-RU"/>
        </w:rPr>
        <w:t xml:space="preserve">Применение трансформационных игр в практике образования / Федеральный научно-методический журнал Методист №6 2023, </w:t>
      </w:r>
      <w:r w:rsidRPr="0002773B">
        <w:rPr>
          <w:rFonts w:ascii="Times New Roman" w:hAnsi="Times New Roman" w:cs="Times New Roman"/>
          <w:sz w:val="28"/>
          <w:szCs w:val="28"/>
          <w:lang w:val="en-GB"/>
        </w:rPr>
        <w:t>c</w:t>
      </w:r>
      <w:r w:rsidRPr="0002773B">
        <w:rPr>
          <w:rFonts w:ascii="Times New Roman" w:hAnsi="Times New Roman" w:cs="Times New Roman"/>
          <w:sz w:val="28"/>
          <w:szCs w:val="28"/>
          <w:lang w:val="ru-RU"/>
        </w:rPr>
        <w:t>17-21</w:t>
      </w:r>
    </w:p>
    <w:p w14:paraId="7BA2A091" w14:textId="3067BDC5" w:rsidR="0002773B" w:rsidRPr="0002773B" w:rsidRDefault="0002773B" w:rsidP="0002773B">
      <w:pPr>
        <w:widowControl/>
        <w:numPr>
          <w:ilvl w:val="0"/>
          <w:numId w:val="1"/>
        </w:numPr>
        <w:suppressAutoHyphens w:val="0"/>
        <w:ind w:left="0" w:hanging="44"/>
        <w:jc w:val="both"/>
        <w:textAlignment w:val="baseline"/>
        <w:rPr>
          <w:rFonts w:eastAsia="Arial"/>
          <w:color w:val="222222"/>
          <w:sz w:val="28"/>
          <w:szCs w:val="28"/>
          <w:shd w:val="clear" w:color="auto" w:fill="FFFFFF"/>
          <w:lang w:val="ru-RU"/>
        </w:rPr>
      </w:pPr>
      <w:r w:rsidRPr="0002773B">
        <w:rPr>
          <w:rFonts w:eastAsia="SimSun"/>
          <w:sz w:val="28"/>
          <w:szCs w:val="28"/>
          <w:lang w:val="ru-RU"/>
        </w:rPr>
        <w:t xml:space="preserve">Максимова С. В. </w:t>
      </w:r>
      <w:r w:rsidRPr="0002773B">
        <w:rPr>
          <w:sz w:val="28"/>
          <w:szCs w:val="28"/>
          <w:lang w:val="ru-RU"/>
        </w:rPr>
        <w:t xml:space="preserve">Роль игры в развитии творческого потенциала человека / </w:t>
      </w:r>
      <w:r w:rsidRPr="0002773B">
        <w:rPr>
          <w:b/>
          <w:bCs/>
          <w:sz w:val="28"/>
          <w:szCs w:val="28"/>
          <w:lang w:val="ru-RU"/>
        </w:rPr>
        <w:t>Всероссийские педагогические чтения «Искусство в школе»:</w:t>
      </w:r>
      <w:r w:rsidRPr="0002773B">
        <w:rPr>
          <w:sz w:val="28"/>
          <w:szCs w:val="28"/>
          <w:lang w:val="ru-RU"/>
        </w:rPr>
        <w:t xml:space="preserve"> Сборник статей по материалам Первых Всероссийских педагогических чтений «Искусство в школе». 24-25 октября 2023 г.  /Сост. и ред. Е.Д. Критская, Т.А. </w:t>
      </w:r>
      <w:proofErr w:type="spellStart"/>
      <w:r w:rsidRPr="0002773B">
        <w:rPr>
          <w:sz w:val="28"/>
          <w:szCs w:val="28"/>
          <w:lang w:val="ru-RU"/>
        </w:rPr>
        <w:t>Копцева</w:t>
      </w:r>
      <w:proofErr w:type="spellEnd"/>
      <w:r w:rsidRPr="0002773B">
        <w:rPr>
          <w:sz w:val="28"/>
          <w:szCs w:val="28"/>
          <w:lang w:val="ru-RU"/>
        </w:rPr>
        <w:t>. - М</w:t>
      </w:r>
      <w:r w:rsidRPr="0002773B">
        <w:rPr>
          <w:color w:val="FF0000"/>
          <w:sz w:val="28"/>
          <w:szCs w:val="28"/>
          <w:lang w:val="ru-RU"/>
        </w:rPr>
        <w:t xml:space="preserve">.: </w:t>
      </w:r>
      <w:r w:rsidRPr="0002773B">
        <w:rPr>
          <w:sz w:val="28"/>
          <w:szCs w:val="28"/>
          <w:lang w:val="ru-RU"/>
        </w:rPr>
        <w:t>ГК «Просвещение»,</w:t>
      </w:r>
      <w:r w:rsidRPr="0002773B">
        <w:rPr>
          <w:color w:val="FF0000"/>
          <w:sz w:val="28"/>
          <w:szCs w:val="28"/>
          <w:lang w:val="ru-RU"/>
        </w:rPr>
        <w:t xml:space="preserve"> </w:t>
      </w:r>
      <w:r w:rsidRPr="0002773B">
        <w:rPr>
          <w:sz w:val="28"/>
          <w:szCs w:val="28"/>
          <w:lang w:val="ru-RU"/>
        </w:rPr>
        <w:t xml:space="preserve">2024  </w:t>
      </w:r>
      <w:r w:rsidRPr="0002773B">
        <w:rPr>
          <w:rFonts w:ascii="Arial" w:hAnsi="Arial" w:cs="Arial"/>
          <w:color w:val="2929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02773B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  <w:lang w:val="ru-RU"/>
        </w:rPr>
        <w:t>С</w:t>
      </w:r>
      <w:proofErr w:type="spellEnd"/>
      <w:r w:rsidRPr="0002773B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  <w:lang w:val="ru-RU"/>
        </w:rPr>
        <w:t>. 7-10</w:t>
      </w:r>
    </w:p>
    <w:p w14:paraId="27719C50" w14:textId="77777777" w:rsidR="0002773B" w:rsidRPr="0002773B" w:rsidRDefault="0002773B" w:rsidP="0002773B">
      <w:pPr>
        <w:widowControl/>
        <w:numPr>
          <w:ilvl w:val="0"/>
          <w:numId w:val="1"/>
        </w:numPr>
        <w:suppressAutoHyphens w:val="0"/>
        <w:ind w:left="0" w:hanging="44"/>
        <w:jc w:val="both"/>
        <w:rPr>
          <w:rFonts w:eastAsia="Arial"/>
          <w:color w:val="222222"/>
          <w:sz w:val="28"/>
          <w:szCs w:val="28"/>
          <w:shd w:val="clear" w:color="auto" w:fill="FFFFFF"/>
          <w:lang w:val="ru-RU"/>
        </w:rPr>
      </w:pPr>
      <w:r w:rsidRPr="0002773B">
        <w:rPr>
          <w:sz w:val="28"/>
          <w:szCs w:val="28"/>
          <w:lang w:val="ru-RU"/>
        </w:rPr>
        <w:t xml:space="preserve">Максимова С.В., Якутина Н.А. </w:t>
      </w:r>
      <w:r w:rsidRPr="0002773B">
        <w:rPr>
          <w:rFonts w:eastAsia="Arial"/>
          <w:color w:val="222222"/>
          <w:sz w:val="28"/>
          <w:szCs w:val="28"/>
          <w:shd w:val="clear" w:color="auto" w:fill="FFFFFF"/>
          <w:lang w:val="ru-RU"/>
        </w:rPr>
        <w:t xml:space="preserve">Воспитательный потенциал трансформационных игр </w:t>
      </w:r>
      <w:r w:rsidRPr="0002773B">
        <w:rPr>
          <w:rFonts w:eastAsia="SimSun"/>
          <w:sz w:val="28"/>
          <w:szCs w:val="28"/>
          <w:lang w:val="ru-RU"/>
        </w:rPr>
        <w:t>/ Максимова С.В., Якутина Н.А. // Воспитательная работа в школе. – 2024. – № 1. – С. 23-30.</w:t>
      </w:r>
    </w:p>
    <w:p w14:paraId="5A22E599" w14:textId="77777777" w:rsidR="0002773B" w:rsidRPr="0002773B" w:rsidRDefault="0002773B" w:rsidP="0002773B">
      <w:pPr>
        <w:pStyle w:val="a6"/>
        <w:numPr>
          <w:ilvl w:val="0"/>
          <w:numId w:val="1"/>
        </w:numPr>
        <w:tabs>
          <w:tab w:val="clear" w:pos="1070"/>
        </w:tabs>
        <w:spacing w:line="240" w:lineRule="auto"/>
        <w:ind w:left="0" w:hanging="44"/>
        <w:rPr>
          <w:rFonts w:ascii="Times New Roman" w:hAnsi="Times New Roman"/>
          <w:sz w:val="28"/>
          <w:szCs w:val="28"/>
        </w:rPr>
      </w:pPr>
      <w:bookmarkStart w:id="0" w:name="_Hlk190103987"/>
      <w:r w:rsidRPr="0002773B">
        <w:rPr>
          <w:rFonts w:ascii="Times New Roman" w:eastAsia="Droid Sans Fallback" w:hAnsi="Times New Roman"/>
          <w:bCs/>
          <w:kern w:val="2"/>
          <w:sz w:val="28"/>
          <w:szCs w:val="28"/>
          <w:lang w:eastAsia="hi-IN" w:bidi="hi-IN"/>
        </w:rPr>
        <w:t>Максимова, С. В.</w:t>
      </w:r>
      <w:r w:rsidRPr="0002773B">
        <w:rPr>
          <w:rFonts w:ascii="Times New Roman" w:hAnsi="Times New Roman"/>
          <w:bCs/>
          <w:sz w:val="28"/>
          <w:szCs w:val="28"/>
        </w:rPr>
        <w:t xml:space="preserve"> Критерии оценки результатов и эффективности трансформационных игр как психотерапевтического и личностно развивающего инструмента</w:t>
      </w:r>
      <w:r w:rsidRPr="0002773B">
        <w:rPr>
          <w:rFonts w:ascii="Times New Roman" w:eastAsia="Droid Sans Fallback" w:hAnsi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02773B">
        <w:rPr>
          <w:rFonts w:ascii="Times New Roman" w:hAnsi="Times New Roman"/>
          <w:sz w:val="28"/>
          <w:szCs w:val="28"/>
        </w:rPr>
        <w:t xml:space="preserve">/ С. В. Максимова // Мир психологии. — 2025. — № 1 (120). </w:t>
      </w:r>
      <w:bookmarkEnd w:id="0"/>
      <w:r w:rsidRPr="0002773B">
        <w:rPr>
          <w:rFonts w:ascii="Times New Roman" w:hAnsi="Times New Roman"/>
          <w:sz w:val="28"/>
          <w:szCs w:val="28"/>
        </w:rPr>
        <w:t>— С. 00–00. — DOI: 10.51944/20738528_2025_1_. — EDN:</w:t>
      </w:r>
    </w:p>
    <w:p w14:paraId="0952D6F6" w14:textId="17B9F35C" w:rsidR="00434856" w:rsidRPr="00371224" w:rsidRDefault="00434856" w:rsidP="006F4ACA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D4986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B3C4201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24D0D34" w14:textId="18F73D6A" w:rsidR="00434856" w:rsidRPr="006F4ACA" w:rsidRDefault="002021FC" w:rsidP="00371224">
      <w:pPr>
        <w:pStyle w:val="PreformattedTex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4ACA">
        <w:rPr>
          <w:rFonts w:ascii="Times New Roman" w:hAnsi="Times New Roman" w:cs="Times New Roman"/>
          <w:b/>
          <w:bCs/>
          <w:sz w:val="28"/>
          <w:szCs w:val="28"/>
          <w:lang w:val="ru-RU"/>
        </w:rPr>
        <w:t>Информация об авторах</w:t>
      </w:r>
    </w:p>
    <w:p w14:paraId="3100321F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F8FABDF" w14:textId="1AB461E2" w:rsidR="00434856" w:rsidRDefault="002021F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224">
        <w:rPr>
          <w:rFonts w:ascii="Times New Roman" w:hAnsi="Times New Roman" w:cs="Times New Roman"/>
          <w:sz w:val="28"/>
          <w:szCs w:val="28"/>
          <w:lang w:val="ru-RU"/>
        </w:rPr>
        <w:t>Максимова Светлана Валентиновна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кандидат психологических наук, психотерапевт, </w:t>
      </w:r>
      <w:r w:rsidR="006F4ACA">
        <w:rPr>
          <w:rFonts w:ascii="Times New Roman" w:hAnsi="Times New Roman" w:cs="Times New Roman"/>
          <w:sz w:val="28"/>
          <w:szCs w:val="28"/>
          <w:lang w:val="ru-RU"/>
        </w:rPr>
        <w:t>руководитель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лаборатории «Т-игры в образовании» АНО «ПРОФИС», автор 13 трансформационных игр</w:t>
      </w:r>
      <w:r w:rsidR="00B54FC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712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AA618DB" w14:textId="53CB79CC" w:rsidR="00B54FCC" w:rsidRPr="002021FC" w:rsidRDefault="00B54FCC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Якутина Наталья Алексеевна – психолог, арт-терапевт, автор 4-х трансформационных игр, </w:t>
      </w:r>
      <w:r w:rsidR="002021FC" w:rsidRPr="002021FC">
        <w:rPr>
          <w:rFonts w:ascii="Times New Roman" w:hAnsi="Times New Roman" w:cs="Times New Roman"/>
          <w:sz w:val="28"/>
          <w:szCs w:val="28"/>
          <w:lang w:val="ru-RU"/>
        </w:rPr>
        <w:t xml:space="preserve">МБОО СОШ №2 </w:t>
      </w:r>
      <w:proofErr w:type="spellStart"/>
      <w:r w:rsidR="002021FC" w:rsidRPr="002021FC">
        <w:rPr>
          <w:rFonts w:ascii="Times New Roman" w:hAnsi="Times New Roman" w:cs="Times New Roman"/>
          <w:sz w:val="28"/>
          <w:szCs w:val="28"/>
          <w:lang w:val="ru-RU"/>
        </w:rPr>
        <w:t>г.о.Фрязино</w:t>
      </w:r>
      <w:proofErr w:type="spellEnd"/>
      <w:r w:rsidR="002021FC" w:rsidRPr="002021FC">
        <w:rPr>
          <w:rFonts w:ascii="Times New Roman" w:hAnsi="Times New Roman" w:cs="Times New Roman"/>
          <w:sz w:val="28"/>
          <w:szCs w:val="28"/>
          <w:lang w:val="ru-RU"/>
        </w:rPr>
        <w:t xml:space="preserve"> Московской области</w:t>
      </w:r>
    </w:p>
    <w:p w14:paraId="75C17754" w14:textId="77777777" w:rsidR="00434856" w:rsidRPr="00371224" w:rsidRDefault="00434856" w:rsidP="00371224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434856" w:rsidRPr="00371224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erif CN">
    <w:altName w:val="Calibri"/>
    <w:charset w:val="01"/>
    <w:family w:val="auto"/>
    <w:pitch w:val="variable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Source Han Sans CN">
    <w:charset w:val="01"/>
    <w:family w:val="auto"/>
    <w:pitch w:val="variable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Noto Sans Mono CJK SC">
    <w:charset w:val="01"/>
    <w:family w:val="modern"/>
    <w:pitch w:val="fixed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F517D"/>
    <w:multiLevelType w:val="multilevel"/>
    <w:tmpl w:val="713E2B1B"/>
    <w:lvl w:ilvl="0">
      <w:start w:val="1"/>
      <w:numFmt w:val="decimal"/>
      <w:lvlText w:val="%1."/>
      <w:lvlJc w:val="left"/>
      <w:pPr>
        <w:tabs>
          <w:tab w:val="left" w:pos="1070"/>
        </w:tabs>
        <w:ind w:left="1320" w:hanging="360"/>
      </w:pPr>
      <w:rPr>
        <w:rFonts w:cs="Times New Roman" w:hint="default"/>
        <w:b w:val="0"/>
        <w:bCs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4856"/>
    <w:rsid w:val="0002773B"/>
    <w:rsid w:val="002021FC"/>
    <w:rsid w:val="00371224"/>
    <w:rsid w:val="003F6FE3"/>
    <w:rsid w:val="00434856"/>
    <w:rsid w:val="006F4ACA"/>
    <w:rsid w:val="00972046"/>
    <w:rsid w:val="00B54FCC"/>
    <w:rsid w:val="00C153A3"/>
    <w:rsid w:val="00F8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510A"/>
  <w15:docId w15:val="{5E618053-D3D5-4F01-B23B-47DAF33AD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paragraph" w:styleId="a6">
    <w:name w:val="List Paragraph"/>
    <w:basedOn w:val="a"/>
    <w:link w:val="a7"/>
    <w:uiPriority w:val="34"/>
    <w:qFormat/>
    <w:rsid w:val="0002773B"/>
    <w:pPr>
      <w:widowControl/>
      <w:suppressAutoHyphens w:val="0"/>
      <w:spacing w:line="360" w:lineRule="exact"/>
      <w:ind w:left="720"/>
      <w:contextualSpacing/>
      <w:jc w:val="both"/>
    </w:pPr>
    <w:rPr>
      <w:rFonts w:ascii="Calibri" w:eastAsia="Times New Roman" w:hAnsi="Calibri" w:cs="Times New Roman"/>
      <w:sz w:val="22"/>
      <w:szCs w:val="22"/>
      <w:lang w:val="ru-RU" w:eastAsia="en-US" w:bidi="ar-SA"/>
    </w:rPr>
  </w:style>
  <w:style w:type="character" w:customStyle="1" w:styleId="a7">
    <w:name w:val="Абзац списка Знак"/>
    <w:basedOn w:val="a0"/>
    <w:link w:val="a6"/>
    <w:uiPriority w:val="34"/>
    <w:qFormat/>
    <w:locked/>
    <w:rsid w:val="0002773B"/>
    <w:rPr>
      <w:rFonts w:ascii="Calibri" w:eastAsia="Times New Roman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2859</Words>
  <Characters>16300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Cветлана максимова</cp:lastModifiedBy>
  <cp:revision>2</cp:revision>
  <dcterms:created xsi:type="dcterms:W3CDTF">2025-12-26T16:58:00Z</dcterms:created>
  <dcterms:modified xsi:type="dcterms:W3CDTF">2025-12-26T17:35:00Z</dcterms:modified>
  <dc:language>en-US</dc:language>
</cp:coreProperties>
</file>